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pPr>
      <w:bookmarkStart w:id="0" w:name="OLE_LINK24"/>
      <w:bookmarkStart w:id="1" w:name="OLE_LINK34"/>
      <w:bookmarkStart w:id="2" w:name="OLE_LINK12"/>
      <w:bookmarkStart w:id="3" w:name="OLE_LINK13"/>
      <w:bookmarkStart w:id="4" w:name="OLE_LINK33"/>
      <w:r>
        <w:rPr>
          <w:rFonts w:ascii="Arial" w:hAnsi="Arial" w:cs="Arial"/>
          <w:b/>
        </w:rPr>
        <w:t>3GPP TSG RAN WG1 Meeting #101</w:t>
      </w:r>
      <w:r>
        <w:rPr>
          <w:rFonts w:hint="eastAsia" w:ascii="Arial" w:hAnsi="Arial" w:cs="Arial"/>
          <w:b/>
        </w:rPr>
        <w:t>-e</w:t>
      </w:r>
      <w:r>
        <w:rPr>
          <w:rFonts w:ascii="Arial" w:hAnsi="Arial" w:cs="Arial"/>
          <w:b/>
        </w:rPr>
        <w:t xml:space="preserve">    </w:t>
      </w:r>
      <w:r>
        <w:rPr>
          <w:rFonts w:hint="eastAsia" w:ascii="Arial" w:hAnsi="Arial" w:cs="Arial"/>
          <w:b/>
        </w:rPr>
        <w:t xml:space="preserve">                                   R1-2003480</w:t>
      </w:r>
    </w:p>
    <w:p>
      <w:pPr>
        <w:tabs>
          <w:tab w:val="center" w:pos="4536"/>
          <w:tab w:val="right" w:pos="8280"/>
          <w:tab w:val="right" w:pos="9639"/>
        </w:tabs>
        <w:snapToGrid w:val="0"/>
        <w:spacing w:after="0" w:line="240" w:lineRule="auto"/>
        <w:ind w:left="442" w:right="2" w:hanging="442" w:hangingChars="200"/>
        <w:rPr>
          <w:rFonts w:ascii="Arial" w:hAnsi="Arial" w:cs="Arial"/>
          <w:b/>
        </w:rPr>
      </w:pPr>
      <w:r>
        <w:rPr>
          <w:rFonts w:ascii="Arial" w:hAnsi="Arial" w:cs="Arial"/>
          <w:b/>
        </w:rPr>
        <w:t>e-Meeting, May 25</w:t>
      </w:r>
      <w:r>
        <w:rPr>
          <w:rFonts w:ascii="Arial" w:hAnsi="Arial" w:cs="Arial"/>
          <w:b/>
          <w:vertAlign w:val="superscript"/>
        </w:rPr>
        <w:t>th</w:t>
      </w:r>
      <w:r>
        <w:rPr>
          <w:rFonts w:ascii="Arial" w:hAnsi="Arial" w:cs="Arial"/>
          <w:b/>
        </w:rPr>
        <w:t xml:space="preserve"> – June 5</w:t>
      </w:r>
      <w:r>
        <w:rPr>
          <w:rFonts w:ascii="Arial" w:hAnsi="Arial" w:cs="Arial"/>
          <w:b/>
          <w:vertAlign w:val="superscript"/>
        </w:rPr>
        <w:t>th</w:t>
      </w:r>
      <w:r>
        <w:rPr>
          <w:rFonts w:ascii="Arial" w:hAnsi="Arial" w:cs="Arial"/>
          <w:b/>
        </w:rPr>
        <w:t>, 2020</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Title:           </w:t>
      </w:r>
      <w:bookmarkEnd w:id="0"/>
      <w:r>
        <w:rPr>
          <w:rFonts w:hint="eastAsia" w:ascii="Arial" w:hAnsi="Arial" w:eastAsia="宋体" w:cs="Arial"/>
          <w:b/>
        </w:rPr>
        <w:t xml:space="preserve"> </w:t>
      </w:r>
      <w:bookmarkStart w:id="5" w:name="OLE_LINK3"/>
      <w:bookmarkStart w:id="6" w:name="OLE_LINK2"/>
      <w:r>
        <w:rPr>
          <w:rFonts w:ascii="Arial" w:hAnsi="Arial" w:eastAsia="宋体" w:cs="Arial"/>
          <w:b/>
        </w:rPr>
        <w:t>Evaluation results of additional scenarios for positioning</w:t>
      </w:r>
      <w:bookmarkEnd w:id="5"/>
    </w:p>
    <w:bookmarkEnd w:id="6"/>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2</w:t>
      </w:r>
      <w:r>
        <w:rPr>
          <w:rFonts w:hint="eastAsia" w:ascii="Arial" w:hAnsi="Arial" w:eastAsia="宋体" w:cs="Arial"/>
          <w:b/>
        </w:rPr>
        <w:t>.2</w:t>
      </w:r>
    </w:p>
    <w:bookmarkEnd w:id="1"/>
    <w:bookmarkEnd w:id="2"/>
    <w:bookmarkEnd w:id="3"/>
    <w:bookmarkEnd w:id="4"/>
    <w:p>
      <w:pPr>
        <w:pBdr>
          <w:bottom w:val="single" w:color="auto" w:sz="6" w:space="1"/>
        </w:pBdr>
        <w:snapToGrid w:val="0"/>
        <w:spacing w:after="0" w:line="240" w:lineRule="auto"/>
        <w:ind w:left="1797" w:hanging="1797"/>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snapToGrid w:val="0"/>
        <w:spacing w:before="180" w:beforeLines="50" w:after="180" w:afterLines="50" w:line="240" w:lineRule="auto"/>
        <w:jc w:val="both"/>
      </w:pPr>
      <w:r>
        <w:rPr>
          <w:rFonts w:hint="eastAsia" w:ascii="Times New Roman" w:hAnsi="Times New Roman"/>
          <w:sz w:val="20"/>
          <w:szCs w:val="20"/>
        </w:rPr>
        <w:t>In 3GPP TSG RAN Meeting #86,</w:t>
      </w:r>
      <w:r>
        <w:rPr>
          <w:rFonts w:ascii="Times New Roman" w:hAnsi="Times New Roman"/>
          <w:sz w:val="20"/>
          <w:szCs w:val="20"/>
        </w:rPr>
        <w:t xml:space="preserve"> </w:t>
      </w:r>
      <w:r>
        <w:rPr>
          <w:rFonts w:hint="eastAsia" w:ascii="Times New Roman" w:hAnsi="Times New Roman"/>
          <w:sz w:val="20"/>
          <w:szCs w:val="20"/>
        </w:rPr>
        <w:t>a new study item was agreed</w:t>
      </w:r>
      <w:r>
        <w:rPr>
          <w:rFonts w:ascii="Times New Roman" w:hAnsi="Times New Roman"/>
          <w:sz w:val="20"/>
          <w:szCs w:val="20"/>
        </w:rPr>
        <w:t xml:space="preserve"> </w:t>
      </w:r>
      <w:r>
        <w:rPr>
          <w:rFonts w:hint="eastAsia" w:ascii="Times New Roman" w:hAnsi="Times New Roman"/>
          <w:sz w:val="20"/>
          <w:szCs w:val="20"/>
        </w:rPr>
        <w:t>[1].</w:t>
      </w:r>
      <w:r>
        <w:rPr>
          <w:rFonts w:ascii="Times New Roman" w:hAnsi="Times New Roman"/>
          <w:sz w:val="20"/>
          <w:szCs w:val="20"/>
        </w:rPr>
        <w:t xml:space="preserve"> </w:t>
      </w:r>
      <w:r>
        <w:rPr>
          <w:rFonts w:hint="eastAsia" w:ascii="Times New Roman" w:hAnsi="Times New Roman"/>
          <w:sz w:val="20"/>
          <w:szCs w:val="20"/>
        </w:rPr>
        <w:t>The study item is intended to study enhancements and solutions necessary to support the high accuracy (horizontal and vertical), low latency, network efficiency (scalability, RS overhead, etc.), and device efficiency (power consumption, complexity, etc.) requirements for commercial uses cases. In our companion contribution [2],</w:t>
      </w:r>
      <w:r>
        <w:rPr>
          <w:rFonts w:ascii="Times New Roman" w:hAnsi="Times New Roman"/>
          <w:sz w:val="20"/>
          <w:szCs w:val="20"/>
        </w:rPr>
        <w:t xml:space="preserve"> </w:t>
      </w:r>
      <w:r>
        <w:rPr>
          <w:rFonts w:hint="eastAsia" w:ascii="Times New Roman" w:hAnsi="Times New Roman"/>
          <w:sz w:val="20"/>
          <w:szCs w:val="20"/>
        </w:rPr>
        <w:t>we have discussed some additional scenarios for positioning.</w:t>
      </w:r>
      <w:r>
        <w:rPr>
          <w:rFonts w:ascii="Times New Roman" w:hAnsi="Times New Roman"/>
          <w:sz w:val="20"/>
          <w:szCs w:val="20"/>
        </w:rPr>
        <w:t xml:space="preserve"> </w:t>
      </w:r>
      <w:r>
        <w:rPr>
          <w:rFonts w:hint="eastAsia" w:ascii="Times New Roman" w:hAnsi="Times New Roman"/>
          <w:sz w:val="20"/>
          <w:szCs w:val="20"/>
        </w:rPr>
        <w:t>Then this contribution we</w:t>
      </w:r>
      <w:r>
        <w:rPr>
          <w:rFonts w:ascii="Times New Roman" w:hAnsi="Times New Roman"/>
          <w:sz w:val="20"/>
          <w:szCs w:val="20"/>
        </w:rPr>
        <w:t>’</w:t>
      </w:r>
      <w:r>
        <w:rPr>
          <w:rFonts w:hint="eastAsia" w:ascii="Times New Roman" w:hAnsi="Times New Roman"/>
          <w:sz w:val="20"/>
          <w:szCs w:val="20"/>
        </w:rPr>
        <w:t>ll provide some evaluation results.</w:t>
      </w:r>
    </w:p>
    <w:p>
      <w:pPr>
        <w:pStyle w:val="2"/>
        <w:rPr>
          <w:sz w:val="28"/>
          <w:szCs w:val="28"/>
          <w:lang w:val="en-US"/>
        </w:rPr>
      </w:pPr>
      <w:r>
        <w:rPr>
          <w:rFonts w:hint="eastAsia"/>
          <w:sz w:val="28"/>
          <w:szCs w:val="28"/>
          <w:lang w:val="en-US"/>
        </w:rPr>
        <w:t>Evaluation results of InF scenarios for positioning</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our evaluation results, </w:t>
      </w:r>
      <w:r>
        <w:rPr>
          <w:rFonts w:hint="eastAsia" w:ascii="Times New Roman" w:hAnsi="Times New Roman"/>
          <w:sz w:val="20"/>
          <w:szCs w:val="20"/>
        </w:rPr>
        <w:t xml:space="preserve">we adopt </w:t>
      </w:r>
      <w:r>
        <w:rPr>
          <w:rFonts w:ascii="Times New Roman" w:hAnsi="Times New Roman"/>
          <w:sz w:val="20"/>
          <w:szCs w:val="20"/>
        </w:rPr>
        <w:t>simulation assumptions as discussed in our companion contribution [2] and other detailed configurations and algorithms are listed in appendix. In this section, we provide our simulation results on IIOT scenarios (InF-SL, InF-DL, InF-SH, InF-DH) and corresponding CDF curves (CDF vs horizontal distance error).</w:t>
      </w:r>
    </w:p>
    <w:p>
      <w:pPr>
        <w:pStyle w:val="3"/>
        <w:numPr>
          <w:ilvl w:val="0"/>
          <w:numId w:val="0"/>
        </w:numPr>
        <w:snapToGrid w:val="0"/>
        <w:spacing w:before="80" w:after="80" w:line="240" w:lineRule="auto"/>
        <w:ind w:left="720"/>
        <w:rPr>
          <w:rFonts w:ascii="Arial" w:hAnsi="Arial" w:cs="Arial"/>
          <w:sz w:val="24"/>
          <w:szCs w:val="24"/>
          <w:lang w:val="en-US"/>
        </w:rPr>
      </w:pPr>
      <w:r>
        <w:rPr>
          <w:rFonts w:ascii="Arial" w:hAnsi="Arial" w:cs="Arial"/>
          <w:sz w:val="24"/>
          <w:szCs w:val="24"/>
          <w:lang w:val="en-US"/>
        </w:rPr>
        <w:t>FR1, 100MHz, 30KHz, perfect synchronization</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4319905" cy="2472055"/>
            <wp:effectExtent l="0" t="0" r="444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319905" cy="247205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Figure 1</w:t>
      </w:r>
      <w:r>
        <w:rPr>
          <w:rFonts w:hint="eastAsia" w:ascii="Times New Roman" w:hAnsi="Times New Roman"/>
          <w:sz w:val="20"/>
          <w:szCs w:val="20"/>
        </w:rPr>
        <w:t xml:space="preserve"> CDF curve</w:t>
      </w:r>
      <w:r>
        <w:rPr>
          <w:rFonts w:ascii="Times New Roman" w:hAnsi="Times New Roman"/>
          <w:sz w:val="20"/>
          <w:szCs w:val="20"/>
        </w:rPr>
        <w:t xml:space="preserve"> of positioning error</w:t>
      </w:r>
      <w:r>
        <w:rPr>
          <w:rFonts w:hint="eastAsia" w:ascii="Times New Roman" w:hAnsi="Times New Roman"/>
          <w:sz w:val="20"/>
          <w:szCs w:val="20"/>
        </w:rPr>
        <w:t xml:space="preserve"> for IIOT scenarios with perfect synchronization with 100Mhz </w:t>
      </w:r>
      <w:r>
        <w:rPr>
          <w:rFonts w:ascii="Times New Roman" w:hAnsi="Times New Roman"/>
          <w:sz w:val="20"/>
          <w:szCs w:val="20"/>
        </w:rPr>
        <w:t>b</w:t>
      </w:r>
      <w:r>
        <w:rPr>
          <w:rFonts w:hint="eastAsia" w:ascii="Times New Roman" w:hAnsi="Times New Roman"/>
          <w:sz w:val="20"/>
          <w:szCs w:val="20"/>
        </w:rPr>
        <w:t>andwidth.</w:t>
      </w:r>
    </w:p>
    <w:p>
      <w:pPr>
        <w:pStyle w:val="3"/>
        <w:numPr>
          <w:ilvl w:val="0"/>
          <w:numId w:val="0"/>
        </w:numPr>
        <w:snapToGrid w:val="0"/>
        <w:spacing w:before="80" w:after="80" w:line="240" w:lineRule="auto"/>
        <w:ind w:left="720"/>
        <w:rPr>
          <w:rFonts w:ascii="Arial" w:hAnsi="Arial" w:cs="Arial"/>
          <w:sz w:val="24"/>
          <w:szCs w:val="24"/>
          <w:lang w:val="en-US"/>
        </w:rPr>
      </w:pPr>
      <w:r>
        <w:rPr>
          <w:rFonts w:ascii="Arial" w:hAnsi="Arial" w:cs="Arial"/>
          <w:sz w:val="24"/>
          <w:szCs w:val="24"/>
          <w:lang w:val="en-US"/>
        </w:rPr>
        <w:t>FR1, 100MHz, 30KHz, 50 ns sync</w:t>
      </w:r>
      <w:r>
        <w:rPr>
          <w:rFonts w:hint="eastAsia" w:ascii="Arial" w:hAnsi="Arial" w:cs="Arial"/>
          <w:sz w:val="24"/>
          <w:szCs w:val="24"/>
          <w:lang w:val="en-US"/>
        </w:rPr>
        <w:t>hronization</w:t>
      </w:r>
      <w:r>
        <w:rPr>
          <w:rFonts w:ascii="Arial" w:hAnsi="Arial" w:cs="Arial"/>
          <w:sz w:val="24"/>
          <w:szCs w:val="24"/>
          <w:lang w:val="en-US"/>
        </w:rPr>
        <w:t xml:space="preserve"> error</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4319905" cy="24720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319905" cy="247205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2 CDF curve</w:t>
      </w:r>
      <w:r>
        <w:rPr>
          <w:rFonts w:ascii="Times New Roman" w:hAnsi="Times New Roman"/>
          <w:sz w:val="20"/>
          <w:szCs w:val="20"/>
        </w:rPr>
        <w:t xml:space="preserve"> of positioning error</w:t>
      </w:r>
      <w:r>
        <w:rPr>
          <w:rFonts w:hint="eastAsia" w:ascii="Times New Roman" w:hAnsi="Times New Roman"/>
          <w:sz w:val="20"/>
          <w:szCs w:val="20"/>
        </w:rPr>
        <w:t xml:space="preserve"> for IIOT scenarios with 50 ns synchronization error with 100Mhz </w:t>
      </w:r>
      <w:r>
        <w:rPr>
          <w:rFonts w:ascii="Times New Roman" w:hAnsi="Times New Roman"/>
          <w:sz w:val="20"/>
          <w:szCs w:val="20"/>
        </w:rPr>
        <w:t>b</w:t>
      </w:r>
      <w:r>
        <w:rPr>
          <w:rFonts w:hint="eastAsia" w:ascii="Times New Roman" w:hAnsi="Times New Roman"/>
          <w:sz w:val="20"/>
          <w:szCs w:val="20"/>
        </w:rPr>
        <w:t>andwidth.</w:t>
      </w:r>
    </w:p>
    <w:p>
      <w:pPr>
        <w:pStyle w:val="3"/>
        <w:numPr>
          <w:ilvl w:val="0"/>
          <w:numId w:val="0"/>
        </w:numPr>
        <w:snapToGrid w:val="0"/>
        <w:spacing w:before="80" w:after="80" w:line="240" w:lineRule="auto"/>
        <w:ind w:left="720"/>
        <w:rPr>
          <w:rFonts w:ascii="Arial" w:hAnsi="Arial" w:cs="Arial"/>
          <w:sz w:val="24"/>
          <w:szCs w:val="24"/>
          <w:lang w:val="en-US"/>
        </w:rPr>
      </w:pPr>
      <w:r>
        <w:rPr>
          <w:rFonts w:ascii="Arial" w:hAnsi="Arial" w:cs="Arial"/>
          <w:sz w:val="24"/>
          <w:szCs w:val="24"/>
          <w:lang w:val="en-US"/>
        </w:rPr>
        <w:t>FR2, 400MHz, 120KHz, perfect sync</w:t>
      </w:r>
      <w:r>
        <w:rPr>
          <w:rFonts w:hint="eastAsia" w:ascii="Arial" w:hAnsi="Arial" w:cs="Arial"/>
          <w:sz w:val="24"/>
          <w:szCs w:val="24"/>
          <w:lang w:val="en-US"/>
        </w:rPr>
        <w:t>hronization</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4319905" cy="2472055"/>
            <wp:effectExtent l="0" t="0" r="444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319905" cy="247205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3 CDF curve</w:t>
      </w:r>
      <w:r>
        <w:rPr>
          <w:rFonts w:ascii="Times New Roman" w:hAnsi="Times New Roman"/>
          <w:sz w:val="20"/>
          <w:szCs w:val="20"/>
        </w:rPr>
        <w:t xml:space="preserve"> of positioning error</w:t>
      </w:r>
      <w:r>
        <w:rPr>
          <w:rFonts w:hint="eastAsia" w:ascii="Times New Roman" w:hAnsi="Times New Roman"/>
          <w:sz w:val="20"/>
          <w:szCs w:val="20"/>
        </w:rPr>
        <w:t xml:space="preserve"> for IIOT scenarios with perfect synchronization with 400Mhz </w:t>
      </w:r>
      <w:r>
        <w:rPr>
          <w:rFonts w:ascii="Times New Roman" w:hAnsi="Times New Roman"/>
          <w:sz w:val="20"/>
          <w:szCs w:val="20"/>
        </w:rPr>
        <w:t>b</w:t>
      </w:r>
      <w:r>
        <w:rPr>
          <w:rFonts w:hint="eastAsia" w:ascii="Times New Roman" w:hAnsi="Times New Roman"/>
          <w:sz w:val="20"/>
          <w:szCs w:val="20"/>
        </w:rPr>
        <w:t>andwidth.</w:t>
      </w:r>
    </w:p>
    <w:p>
      <w:pPr>
        <w:jc w:val="center"/>
      </w:pPr>
    </w:p>
    <w:p>
      <w:pPr>
        <w:pStyle w:val="3"/>
        <w:numPr>
          <w:ilvl w:val="0"/>
          <w:numId w:val="0"/>
        </w:numPr>
        <w:snapToGrid w:val="0"/>
        <w:spacing w:before="80" w:after="80" w:line="240" w:lineRule="auto"/>
        <w:ind w:left="720"/>
        <w:rPr>
          <w:rFonts w:ascii="Arial" w:hAnsi="Arial" w:cs="Arial"/>
          <w:sz w:val="24"/>
          <w:szCs w:val="24"/>
          <w:lang w:val="en-US"/>
        </w:rPr>
      </w:pPr>
      <w:r>
        <w:rPr>
          <w:rFonts w:ascii="Arial" w:hAnsi="Arial" w:cs="Arial"/>
          <w:sz w:val="24"/>
          <w:szCs w:val="24"/>
          <w:lang w:val="en-US"/>
        </w:rPr>
        <w:t>FR2, 400MHz, 120KHz, 50 ns sync</w:t>
      </w:r>
      <w:r>
        <w:rPr>
          <w:rFonts w:hint="eastAsia" w:ascii="Arial" w:hAnsi="Arial" w:cs="Arial"/>
          <w:sz w:val="24"/>
          <w:szCs w:val="24"/>
          <w:lang w:val="en-US"/>
        </w:rPr>
        <w:t>hronization</w:t>
      </w:r>
      <w:r>
        <w:rPr>
          <w:rFonts w:ascii="Arial" w:hAnsi="Arial" w:cs="Arial"/>
          <w:sz w:val="24"/>
          <w:szCs w:val="24"/>
          <w:lang w:val="en-US"/>
        </w:rPr>
        <w:t xml:space="preserve"> error</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4319905" cy="2472055"/>
            <wp:effectExtent l="0" t="0" r="444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319905" cy="247205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4 CDF curve</w:t>
      </w:r>
      <w:r>
        <w:rPr>
          <w:rFonts w:ascii="Times New Roman" w:hAnsi="Times New Roman"/>
          <w:sz w:val="20"/>
          <w:szCs w:val="20"/>
        </w:rPr>
        <w:t xml:space="preserve"> of positioning error</w:t>
      </w:r>
      <w:r>
        <w:rPr>
          <w:rFonts w:hint="eastAsia" w:ascii="Times New Roman" w:hAnsi="Times New Roman"/>
          <w:sz w:val="20"/>
          <w:szCs w:val="20"/>
        </w:rPr>
        <w:t xml:space="preserve"> for IIOT scenarios with 50 ns synchronization error with 400Mhz </w:t>
      </w:r>
      <w:r>
        <w:rPr>
          <w:rFonts w:ascii="Times New Roman" w:hAnsi="Times New Roman"/>
          <w:sz w:val="20"/>
          <w:szCs w:val="20"/>
        </w:rPr>
        <w:t>b</w:t>
      </w:r>
      <w:r>
        <w:rPr>
          <w:rFonts w:hint="eastAsia" w:ascii="Times New Roman" w:hAnsi="Times New Roman"/>
          <w:sz w:val="20"/>
          <w:szCs w:val="20"/>
        </w:rPr>
        <w:t>andwidth.</w:t>
      </w:r>
    </w:p>
    <w:p>
      <w:pPr>
        <w:pStyle w:val="3"/>
        <w:numPr>
          <w:ilvl w:val="0"/>
          <w:numId w:val="0"/>
        </w:numPr>
        <w:snapToGrid w:val="0"/>
        <w:spacing w:before="80" w:after="80" w:line="240" w:lineRule="auto"/>
        <w:ind w:left="720"/>
        <w:rPr>
          <w:rFonts w:ascii="Arial" w:hAnsi="Arial" w:cs="Arial"/>
          <w:sz w:val="24"/>
          <w:szCs w:val="24"/>
          <w:lang w:val="en-US"/>
        </w:rPr>
      </w:pPr>
      <w:r>
        <w:rPr>
          <w:rFonts w:ascii="Arial" w:hAnsi="Arial" w:cs="Arial"/>
          <w:sz w:val="24"/>
          <w:szCs w:val="24"/>
          <w:lang w:val="en-US"/>
        </w:rPr>
        <w:t>Summary of results</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Observation 1:</w:t>
      </w:r>
      <w:r>
        <w:rPr>
          <w:rFonts w:ascii="Times New Roman" w:hAnsi="Times New Roman"/>
          <w:i/>
          <w:sz w:val="20"/>
          <w:szCs w:val="20"/>
        </w:rPr>
        <w:t xml:space="preserve"> </w:t>
      </w:r>
      <w:r>
        <w:rPr>
          <w:rFonts w:hint="eastAsia" w:ascii="Times New Roman" w:hAnsi="Times New Roman"/>
          <w:i/>
          <w:sz w:val="20"/>
          <w:szCs w:val="20"/>
        </w:rPr>
        <w:t>The sub-meter(&lt;1m) horizontal commercial requirement for at least 80% of UEs can be met only in InF-SH scenario with perfect synchronization with 400 MHz Bandwidth.</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2</w:t>
      </w:r>
      <w:r>
        <w:rPr>
          <w:rFonts w:ascii="Times New Roman" w:hAnsi="Times New Roman"/>
          <w:b/>
          <w:i/>
          <w:sz w:val="20"/>
          <w:szCs w:val="20"/>
        </w:rPr>
        <w:t>:</w:t>
      </w:r>
      <w:r>
        <w:rPr>
          <w:rFonts w:ascii="Times New Roman" w:hAnsi="Times New Roman"/>
          <w:i/>
          <w:sz w:val="20"/>
          <w:szCs w:val="20"/>
        </w:rPr>
        <w:t xml:space="preserve"> </w:t>
      </w:r>
      <w:r>
        <w:rPr>
          <w:rFonts w:hint="eastAsia" w:ascii="Times New Roman" w:hAnsi="Times New Roman"/>
          <w:i/>
          <w:sz w:val="20"/>
          <w:szCs w:val="20"/>
        </w:rPr>
        <w:t>The positioning accuracy from high to low are InF-SH，InF-SL, InF-DH, InF-DL. The positioning accuracy of dense clutter scenarios</w:t>
      </w:r>
      <w:r>
        <w:rPr>
          <w:rFonts w:ascii="Times New Roman" w:hAnsi="Times New Roman"/>
          <w:i/>
          <w:sz w:val="20"/>
          <w:szCs w:val="20"/>
        </w:rPr>
        <w:t xml:space="preserve"> </w:t>
      </w:r>
      <w:r>
        <w:rPr>
          <w:rFonts w:hint="eastAsia" w:ascii="Times New Roman" w:hAnsi="Times New Roman"/>
          <w:i/>
          <w:sz w:val="20"/>
          <w:szCs w:val="20"/>
        </w:rPr>
        <w:t>(InF-DL, InF-DH) are much worse than sparse clutter scenarios</w:t>
      </w:r>
      <w:r>
        <w:rPr>
          <w:rFonts w:ascii="Times New Roman" w:hAnsi="Times New Roman"/>
          <w:i/>
          <w:sz w:val="20"/>
          <w:szCs w:val="20"/>
        </w:rPr>
        <w:t xml:space="preserve"> </w:t>
      </w:r>
      <w:r>
        <w:rPr>
          <w:rFonts w:hint="eastAsia" w:ascii="Times New Roman" w:hAnsi="Times New Roman"/>
          <w:i/>
          <w:sz w:val="20"/>
          <w:szCs w:val="20"/>
        </w:rPr>
        <w:t>(InF-SL, InF-SH).</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3</w:t>
      </w:r>
      <w:r>
        <w:rPr>
          <w:rFonts w:ascii="Times New Roman" w:hAnsi="Times New Roman"/>
          <w:b/>
          <w:i/>
          <w:sz w:val="20"/>
          <w:szCs w:val="20"/>
        </w:rPr>
        <w:t xml:space="preserve">: </w:t>
      </w:r>
      <w:r>
        <w:rPr>
          <w:rFonts w:hint="eastAsia" w:ascii="Times New Roman" w:hAnsi="Times New Roman"/>
          <w:i/>
          <w:sz w:val="20"/>
          <w:szCs w:val="20"/>
        </w:rPr>
        <w:t>The simulation cases with synchronization error lead to significant p</w:t>
      </w:r>
      <w:r>
        <w:rPr>
          <w:rFonts w:ascii="Times New Roman" w:hAnsi="Times New Roman"/>
          <w:i/>
          <w:sz w:val="20"/>
          <w:szCs w:val="20"/>
        </w:rPr>
        <w:t>er</w:t>
      </w:r>
      <w:r>
        <w:rPr>
          <w:rFonts w:hint="eastAsia" w:ascii="Times New Roman" w:hAnsi="Times New Roman"/>
          <w:i/>
          <w:sz w:val="20"/>
          <w:szCs w:val="20"/>
        </w:rPr>
        <w:t>forma</w:t>
      </w:r>
      <w:r>
        <w:rPr>
          <w:rFonts w:ascii="Times New Roman" w:hAnsi="Times New Roman"/>
          <w:i/>
          <w:sz w:val="20"/>
          <w:szCs w:val="20"/>
        </w:rPr>
        <w:t>n</w:t>
      </w:r>
      <w:r>
        <w:rPr>
          <w:rFonts w:hint="eastAsia" w:ascii="Times New Roman" w:hAnsi="Times New Roman"/>
          <w:i/>
          <w:sz w:val="20"/>
          <w:szCs w:val="20"/>
        </w:rPr>
        <w:t>ce degradation. For example,</w:t>
      </w:r>
    </w:p>
    <w:p>
      <w:pPr>
        <w:pStyle w:val="92"/>
        <w:numPr>
          <w:ilvl w:val="0"/>
          <w:numId w:val="3"/>
        </w:numPr>
        <w:snapToGrid w:val="0"/>
        <w:spacing w:before="180" w:beforeLines="50" w:after="180" w:afterLines="50" w:line="240" w:lineRule="auto"/>
        <w:ind w:firstLineChars="0"/>
        <w:jc w:val="both"/>
        <w:rPr>
          <w:rFonts w:ascii="Times New Roman" w:hAnsi="Times New Roman"/>
          <w:i/>
          <w:sz w:val="20"/>
          <w:szCs w:val="20"/>
        </w:rPr>
      </w:pPr>
      <w:r>
        <w:rPr>
          <w:rFonts w:hint="eastAsia" w:ascii="Times New Roman" w:hAnsi="Times New Roman"/>
          <w:i/>
          <w:sz w:val="20"/>
          <w:szCs w:val="20"/>
        </w:rPr>
        <w:t>9 m performance loss in InF-SH scenario compared with perfect synchronization with 100 MHz Bandwidth for at least 80% UEs.</w:t>
      </w:r>
    </w:p>
    <w:p>
      <w:pPr>
        <w:pStyle w:val="92"/>
        <w:numPr>
          <w:ilvl w:val="0"/>
          <w:numId w:val="3"/>
        </w:numPr>
        <w:snapToGrid w:val="0"/>
        <w:spacing w:before="180" w:beforeLines="50" w:after="180" w:afterLines="50" w:line="240" w:lineRule="auto"/>
        <w:ind w:firstLineChars="0"/>
        <w:jc w:val="both"/>
        <w:rPr>
          <w:rFonts w:ascii="Times New Roman" w:hAnsi="Times New Roman"/>
          <w:i/>
          <w:sz w:val="20"/>
          <w:szCs w:val="20"/>
        </w:rPr>
      </w:pPr>
      <w:r>
        <w:rPr>
          <w:rFonts w:hint="eastAsia" w:ascii="Times New Roman" w:hAnsi="Times New Roman"/>
          <w:i/>
          <w:sz w:val="20"/>
          <w:szCs w:val="20"/>
        </w:rPr>
        <w:t>7 m performance loss in InF-SH scenario compared with perfect synchronization with 400 MHz Bandwidth for at least 80% UEs.</w:t>
      </w:r>
    </w:p>
    <w:p>
      <w:pPr>
        <w:pStyle w:val="2"/>
        <w:rPr>
          <w:sz w:val="28"/>
          <w:szCs w:val="28"/>
          <w:lang w:val="en-US"/>
        </w:rPr>
      </w:pPr>
      <w:r>
        <w:rPr>
          <w:rFonts w:hint="eastAsia"/>
          <w:sz w:val="28"/>
          <w:szCs w:val="28"/>
          <w:lang w:val="en-US"/>
        </w:rPr>
        <w:t>Further evaluations on InF-DH scenario</w:t>
      </w:r>
    </w:p>
    <w:p>
      <w:pPr>
        <w:pStyle w:val="3"/>
        <w:numPr>
          <w:ilvl w:val="0"/>
          <w:numId w:val="0"/>
        </w:numPr>
        <w:snapToGrid w:val="0"/>
        <w:spacing w:before="80" w:after="80" w:line="240" w:lineRule="auto"/>
        <w:ind w:left="720"/>
        <w:rPr>
          <w:rFonts w:ascii="Arial" w:hAnsi="Arial" w:cs="Arial"/>
          <w:sz w:val="24"/>
          <w:szCs w:val="24"/>
          <w:lang w:val="en-US"/>
        </w:rPr>
      </w:pPr>
      <w:r>
        <w:rPr>
          <w:rFonts w:hint="eastAsia" w:ascii="Arial" w:hAnsi="Arial" w:cs="Arial"/>
          <w:sz w:val="24"/>
          <w:szCs w:val="24"/>
          <w:lang w:val="en-US"/>
        </w:rPr>
        <w:t>Increase LOS p</w:t>
      </w:r>
      <w:r>
        <w:rPr>
          <w:rFonts w:ascii="Arial" w:hAnsi="Arial" w:cs="Arial"/>
          <w:sz w:val="24"/>
          <w:szCs w:val="24"/>
          <w:lang w:val="en-US"/>
        </w:rPr>
        <w:t>r</w:t>
      </w:r>
      <w:r>
        <w:rPr>
          <w:rFonts w:hint="eastAsia" w:ascii="Arial" w:hAnsi="Arial" w:cs="Arial"/>
          <w:sz w:val="24"/>
          <w:szCs w:val="24"/>
          <w:lang w:val="en-US"/>
        </w:rPr>
        <w:t>obabil</w:t>
      </w:r>
      <w:r>
        <w:rPr>
          <w:rFonts w:ascii="Arial" w:hAnsi="Arial" w:cs="Arial"/>
          <w:sz w:val="24"/>
          <w:szCs w:val="24"/>
          <w:lang w:val="en-US"/>
        </w:rPr>
        <w:t>i</w:t>
      </w:r>
      <w:r>
        <w:rPr>
          <w:rFonts w:hint="eastAsia" w:ascii="Arial" w:hAnsi="Arial" w:cs="Arial"/>
          <w:sz w:val="24"/>
          <w:szCs w:val="24"/>
          <w:lang w:val="en-US"/>
        </w:rPr>
        <w:t>ty for InF-DH scenario</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we discuss</w:t>
      </w:r>
      <w:r>
        <w:rPr>
          <w:rFonts w:ascii="Times New Roman" w:hAnsi="Times New Roman"/>
          <w:sz w:val="20"/>
          <w:szCs w:val="20"/>
        </w:rPr>
        <w:t>ed</w:t>
      </w:r>
      <w:r>
        <w:rPr>
          <w:rFonts w:hint="eastAsia" w:ascii="Times New Roman" w:hAnsi="Times New Roman"/>
          <w:sz w:val="20"/>
          <w:szCs w:val="20"/>
        </w:rPr>
        <w:t xml:space="preserve"> in our compani</w:t>
      </w:r>
      <w:r>
        <w:rPr>
          <w:rFonts w:ascii="Times New Roman" w:hAnsi="Times New Roman"/>
          <w:sz w:val="20"/>
          <w:szCs w:val="20"/>
        </w:rPr>
        <w:t>o</w:t>
      </w:r>
      <w:r>
        <w:rPr>
          <w:rFonts w:hint="eastAsia" w:ascii="Times New Roman" w:hAnsi="Times New Roman"/>
          <w:sz w:val="20"/>
          <w:szCs w:val="20"/>
        </w:rPr>
        <w:t xml:space="preserve">n </w:t>
      </w:r>
      <w:r>
        <w:rPr>
          <w:rFonts w:ascii="Times New Roman" w:hAnsi="Times New Roman"/>
          <w:sz w:val="20"/>
          <w:szCs w:val="20"/>
        </w:rPr>
        <w:t>contribution [2],</w:t>
      </w:r>
      <w:r>
        <w:rPr>
          <w:rFonts w:hint="eastAsia" w:ascii="Times New Roman" w:hAnsi="Times New Roman"/>
          <w:sz w:val="20"/>
          <w:szCs w:val="20"/>
        </w:rPr>
        <w:t xml:space="preserve"> </w:t>
      </w:r>
      <w:r>
        <w:rPr>
          <w:rFonts w:ascii="Times New Roman" w:hAnsi="Times New Roman"/>
          <w:sz w:val="20"/>
          <w:szCs w:val="20"/>
        </w:rPr>
        <w:t>i</w:t>
      </w:r>
      <w:r>
        <w:rPr>
          <w:rFonts w:hint="eastAsia" w:ascii="Times New Roman" w:hAnsi="Times New Roman"/>
          <w:sz w:val="20"/>
          <w:szCs w:val="20"/>
        </w:rPr>
        <w:t>f we set parameters as Table 7.8-7 in TS 38.855 for calibration purpose,</w:t>
      </w:r>
      <w:r>
        <w:rPr>
          <w:rFonts w:ascii="Times New Roman" w:hAnsi="Times New Roman"/>
          <w:sz w:val="20"/>
          <w:szCs w:val="20"/>
        </w:rPr>
        <w:t xml:space="preserve"> </w:t>
      </w:r>
      <w:r>
        <w:rPr>
          <w:rFonts w:hint="eastAsia" w:ascii="Times New Roman" w:hAnsi="Times New Roman"/>
          <w:sz w:val="20"/>
          <w:szCs w:val="20"/>
        </w:rPr>
        <w:t>InF-SH has the highest LOS probability and InF-DL is the lowest one.</w:t>
      </w:r>
      <w:r>
        <w:rPr>
          <w:rFonts w:ascii="Times New Roman" w:hAnsi="Times New Roman"/>
          <w:sz w:val="20"/>
          <w:szCs w:val="20"/>
        </w:rPr>
        <w:t xml:space="preserve"> </w:t>
      </w:r>
      <w:r>
        <w:rPr>
          <w:rFonts w:hint="eastAsia" w:ascii="Times New Roman" w:hAnsi="Times New Roman"/>
          <w:sz w:val="20"/>
          <w:szCs w:val="20"/>
        </w:rPr>
        <w:t>It</w:t>
      </w:r>
      <w:r>
        <w:rPr>
          <w:rFonts w:ascii="Times New Roman" w:hAnsi="Times New Roman"/>
          <w:sz w:val="20"/>
          <w:szCs w:val="20"/>
        </w:rPr>
        <w:t>’</w:t>
      </w:r>
      <w:r>
        <w:rPr>
          <w:rFonts w:hint="eastAsia" w:ascii="Times New Roman" w:hAnsi="Times New Roman"/>
          <w:sz w:val="20"/>
          <w:szCs w:val="20"/>
        </w:rPr>
        <w:t>s hard to meet Rel.17 positioning requirements for InF-DH scenario.</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It would be better to change some parameters to make a good trade-off. For example,</w:t>
      </w:r>
      <w:r>
        <w:rPr>
          <w:rFonts w:ascii="Times New Roman" w:hAnsi="Times New Roman"/>
          <w:sz w:val="20"/>
          <w:szCs w:val="20"/>
        </w:rPr>
        <w:t xml:space="preserve"> </w:t>
      </w:r>
      <w:r>
        <w:rPr>
          <w:rFonts w:hint="eastAsia" w:ascii="Times New Roman" w:hAnsi="Times New Roman"/>
          <w:sz w:val="20"/>
          <w:szCs w:val="20"/>
        </w:rPr>
        <w:t>BS antenna height,</w:t>
      </w:r>
      <w:r>
        <w:rPr>
          <w:rFonts w:ascii="Times New Roman" w:hAnsi="Times New Roman"/>
          <w:sz w:val="20"/>
          <w:szCs w:val="20"/>
        </w:rPr>
        <w:t xml:space="preserve"> </w:t>
      </w:r>
      <w:r>
        <w:rPr>
          <w:rFonts w:hint="eastAsia" w:ascii="Times New Roman" w:hAnsi="Times New Roman"/>
          <w:sz w:val="20"/>
          <w:szCs w:val="20"/>
        </w:rPr>
        <w:t>UT antenna height, clutter density,</w:t>
      </w:r>
      <w:r>
        <w:rPr>
          <w:rFonts w:ascii="Times New Roman" w:hAnsi="Times New Roman"/>
          <w:sz w:val="20"/>
          <w:szCs w:val="20"/>
        </w:rPr>
        <w:t xml:space="preserve"> </w:t>
      </w:r>
      <w:r>
        <w:rPr>
          <w:rFonts w:hint="eastAsia" w:ascii="Times New Roman" w:hAnsi="Times New Roman"/>
          <w:sz w:val="20"/>
          <w:szCs w:val="20"/>
        </w:rPr>
        <w:t>clutter size and effective clutter height are main factors for LOS probability. As shows in Table 1,</w:t>
      </w:r>
      <w:r>
        <w:rPr>
          <w:rFonts w:ascii="Times New Roman" w:hAnsi="Times New Roman"/>
          <w:sz w:val="20"/>
          <w:szCs w:val="20"/>
        </w:rPr>
        <w:t xml:space="preserve"> </w:t>
      </w:r>
      <w:r>
        <w:rPr>
          <w:rFonts w:hint="eastAsia" w:ascii="Times New Roman" w:hAnsi="Times New Roman"/>
          <w:sz w:val="20"/>
          <w:szCs w:val="20"/>
        </w:rPr>
        <w:t xml:space="preserve">some parameters are changed to increase positioning accuracy and </w:t>
      </w:r>
      <w:r>
        <w:rPr>
          <w:rFonts w:ascii="Times New Roman" w:hAnsi="Times New Roman"/>
          <w:sz w:val="20"/>
          <w:szCs w:val="20"/>
        </w:rPr>
        <w:t xml:space="preserve">the </w:t>
      </w:r>
      <w:r>
        <w:rPr>
          <w:rFonts w:hint="eastAsia" w:ascii="Times New Roman" w:hAnsi="Times New Roman"/>
          <w:sz w:val="20"/>
          <w:szCs w:val="20"/>
        </w:rPr>
        <w:t xml:space="preserve">corresponding LOS probability shows in figure 5. The LOS probability increases progressively from InF-DH case 0 to InF-DH case </w:t>
      </w:r>
      <w:r>
        <w:rPr>
          <w:rFonts w:ascii="Times New Roman" w:hAnsi="Times New Roman"/>
          <w:sz w:val="20"/>
          <w:szCs w:val="20"/>
        </w:rPr>
        <w:t>5</w:t>
      </w:r>
      <w:r>
        <w:rPr>
          <w:rFonts w:hint="eastAsia" w:ascii="Times New Roman" w:hAnsi="Times New Roman"/>
          <w:sz w:val="20"/>
          <w:szCs w:val="20"/>
        </w:rPr>
        <w:t>. InF-DH case 0 is comparable to InH scenario with regard to LOS probability.</w:t>
      </w:r>
    </w:p>
    <w:tbl>
      <w:tblPr>
        <w:tblStyle w:val="24"/>
        <w:tblW w:w="84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1413"/>
        <w:gridCol w:w="1411"/>
        <w:gridCol w:w="1411"/>
        <w:gridCol w:w="1415"/>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Simulation cases /parameters</w:t>
            </w:r>
          </w:p>
        </w:tc>
        <w:tc>
          <w:tcPr>
            <w:tcW w:w="1413"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BS antenna height</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(5-15m)</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UT antenna height</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(m)</w:t>
            </w:r>
          </w:p>
          <w:p>
            <w:pPr>
              <w:snapToGrid w:val="0"/>
              <w:spacing w:before="180" w:beforeLines="50" w:after="180" w:afterLines="50" w:line="240" w:lineRule="auto"/>
              <w:jc w:val="center"/>
              <w:rPr>
                <w:rFonts w:ascii="Times New Roman" w:hAnsi="Times New Roman"/>
                <w:sz w:val="20"/>
                <w:szCs w:val="20"/>
              </w:rPr>
            </w:pP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 xml:space="preserve">Clutter density </w:t>
            </w:r>
            <m:oMath>
              <m:r>
                <m:rPr>
                  <m:sty m:val="p"/>
                </m:rPr>
                <w:rPr>
                  <w:rFonts w:hint="eastAsia" w:ascii="Cambria Math" w:hAnsi="Cambria Math"/>
                  <w:sz w:val="20"/>
                  <w:szCs w:val="20"/>
                </w:rPr>
                <m:t>r</m:t>
              </m:r>
            </m:oMath>
            <w:r>
              <w:rPr>
                <w:rFonts w:hint="eastAsia" w:ascii="Times New Roman" w:hAnsi="Times New Roman"/>
                <w:sz w:val="20"/>
                <w:szCs w:val="20"/>
              </w:rPr>
              <w:t xml:space="preserve"> (percentage of surface area occupied by clutter)</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(≥40%)</w:t>
            </w:r>
          </w:p>
        </w:tc>
        <w:tc>
          <w:tcPr>
            <w:tcW w:w="1415"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 xml:space="preserve">Typical clutter size, </w:t>
            </w:r>
            <m:oMath>
              <m:sSub>
                <m:sSubPr>
                  <m:ctrlPr>
                    <w:rPr>
                      <w:rFonts w:hint="eastAsia" w:ascii="Cambria Math" w:hAnsi="Cambria Math"/>
                      <w:sz w:val="20"/>
                      <w:szCs w:val="20"/>
                    </w:rPr>
                  </m:ctrlPr>
                </m:sSubPr>
                <m:e>
                  <m:r>
                    <m:rPr>
                      <m:sty m:val="p"/>
                    </m:rPr>
                    <w:rPr>
                      <w:rFonts w:hint="eastAsia" w:ascii="Cambria Math" w:hAnsi="Cambria Math"/>
                      <w:sz w:val="20"/>
                      <w:szCs w:val="20"/>
                    </w:rPr>
                    <m:t>d</m:t>
                  </m:r>
                  <m:ctrlPr>
                    <w:rPr>
                      <w:rFonts w:hint="eastAsia" w:ascii="Cambria Math" w:hAnsi="Cambria Math"/>
                      <w:sz w:val="20"/>
                      <w:szCs w:val="20"/>
                    </w:rPr>
                  </m:ctrlPr>
                </m:e>
                <m:sub>
                  <m:r>
                    <m:rPr>
                      <m:sty m:val="p"/>
                    </m:rPr>
                    <w:rPr>
                      <w:rFonts w:hint="eastAsia" w:ascii="Cambria Math" w:hAnsi="Cambria Math"/>
                      <w:sz w:val="20"/>
                      <w:szCs w:val="20"/>
                    </w:rPr>
                    <m:t>clutter</m:t>
                  </m:r>
                  <m:ctrlPr>
                    <w:rPr>
                      <w:rFonts w:hint="eastAsia" w:ascii="Cambria Math" w:hAnsi="Cambria Math"/>
                      <w:sz w:val="20"/>
                      <w:szCs w:val="20"/>
                    </w:rPr>
                  </m:ctrlPr>
                </m:sub>
              </m:sSub>
            </m:oMath>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(m)</w:t>
            </w:r>
          </w:p>
        </w:tc>
        <w:tc>
          <w:tcPr>
            <w:tcW w:w="1399"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Effective clutter height</w:t>
            </w:r>
            <w:r>
              <w:rPr>
                <w:rFonts w:ascii="Times New Roman" w:hAnsi="Times New Roman"/>
                <w:sz w:val="20"/>
                <w:szCs w:val="20"/>
              </w:rPr>
              <w:t xml:space="preserve"> </w:t>
            </w:r>
            <m:oMath>
              <m:sSub>
                <m:sSubPr>
                  <m:ctrlPr>
                    <w:rPr>
                      <w:rFonts w:ascii="Cambria Math" w:hAnsi="Cambria Math"/>
                      <w:sz w:val="20"/>
                      <w:szCs w:val="20"/>
                    </w:rPr>
                  </m:ctrlPr>
                </m:sSubPr>
                <m:e>
                  <m:r>
                    <w:rPr>
                      <w:rFonts w:ascii="Cambria Math" w:hAnsi="Cambria Math"/>
                      <w:sz w:val="20"/>
                      <w:szCs w:val="20"/>
                    </w:rPr>
                    <m:t>h</m:t>
                  </m:r>
                  <m:ctrlPr>
                    <w:rPr>
                      <w:rFonts w:ascii="Cambria Math" w:hAnsi="Cambria Math"/>
                      <w:sz w:val="20"/>
                      <w:szCs w:val="20"/>
                    </w:rPr>
                  </m:ctrlPr>
                </m:e>
                <m:sub>
                  <m:r>
                    <w:rPr>
                      <w:rFonts w:ascii="Cambria Math" w:hAnsi="Cambria Math"/>
                      <w:sz w:val="20"/>
                      <w:szCs w:val="20"/>
                    </w:rPr>
                    <m:t>c</m:t>
                  </m:r>
                  <m:ctrlPr>
                    <w:rPr>
                      <w:rFonts w:ascii="Cambria Math" w:hAnsi="Cambria Math"/>
                      <w:sz w:val="20"/>
                      <w:szCs w:val="20"/>
                    </w:rPr>
                  </m:ctrlPr>
                </m:sub>
              </m:sSub>
            </m:oMath>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&lt; Ceiling height, 0-10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jc w:val="center"/>
        </w:trPr>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InF-DH case 0</w:t>
            </w:r>
          </w:p>
        </w:tc>
        <w:tc>
          <w:tcPr>
            <w:tcW w:w="1413"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8</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1.5</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60%</w:t>
            </w:r>
          </w:p>
        </w:tc>
        <w:tc>
          <w:tcPr>
            <w:tcW w:w="1415"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2</w:t>
            </w:r>
          </w:p>
        </w:tc>
        <w:tc>
          <w:tcPr>
            <w:tcW w:w="1399"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jc w:val="center"/>
        </w:trPr>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InF-DH case 1</w:t>
            </w:r>
          </w:p>
        </w:tc>
        <w:tc>
          <w:tcPr>
            <w:tcW w:w="1413"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12</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1.5</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50%</w:t>
            </w:r>
          </w:p>
        </w:tc>
        <w:tc>
          <w:tcPr>
            <w:tcW w:w="1415"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2</w:t>
            </w:r>
          </w:p>
        </w:tc>
        <w:tc>
          <w:tcPr>
            <w:tcW w:w="1399"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jc w:val="center"/>
        </w:trPr>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InF-DH case 2</w:t>
            </w:r>
          </w:p>
        </w:tc>
        <w:tc>
          <w:tcPr>
            <w:tcW w:w="1413"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12</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1.5</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40%</w:t>
            </w:r>
          </w:p>
        </w:tc>
        <w:tc>
          <w:tcPr>
            <w:tcW w:w="1415"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2</w:t>
            </w:r>
          </w:p>
        </w:tc>
        <w:tc>
          <w:tcPr>
            <w:tcW w:w="1399"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jc w:val="center"/>
        </w:trPr>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InF-DH case 3</w:t>
            </w:r>
          </w:p>
        </w:tc>
        <w:tc>
          <w:tcPr>
            <w:tcW w:w="1413"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15</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2</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40%</w:t>
            </w:r>
          </w:p>
        </w:tc>
        <w:tc>
          <w:tcPr>
            <w:tcW w:w="1415"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2</w:t>
            </w:r>
          </w:p>
        </w:tc>
        <w:tc>
          <w:tcPr>
            <w:tcW w:w="1399"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jc w:val="center"/>
        </w:trPr>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InF-DH case 4</w:t>
            </w:r>
          </w:p>
        </w:tc>
        <w:tc>
          <w:tcPr>
            <w:tcW w:w="1413"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15</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2</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40%</w:t>
            </w:r>
          </w:p>
        </w:tc>
        <w:tc>
          <w:tcPr>
            <w:tcW w:w="1415"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2</w:t>
            </w:r>
          </w:p>
        </w:tc>
        <w:tc>
          <w:tcPr>
            <w:tcW w:w="1399"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jc w:val="center"/>
        </w:trPr>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InF-DH case 5</w:t>
            </w:r>
          </w:p>
        </w:tc>
        <w:tc>
          <w:tcPr>
            <w:tcW w:w="1413"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15</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2</w:t>
            </w:r>
          </w:p>
        </w:tc>
        <w:tc>
          <w:tcPr>
            <w:tcW w:w="1411"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40%</w:t>
            </w:r>
          </w:p>
        </w:tc>
        <w:tc>
          <w:tcPr>
            <w:tcW w:w="1415"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2</w:t>
            </w:r>
          </w:p>
        </w:tc>
        <w:tc>
          <w:tcPr>
            <w:tcW w:w="1399" w:type="dxa"/>
          </w:tcPr>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2.5</w:t>
            </w:r>
          </w:p>
        </w:tc>
      </w:tr>
    </w:tbl>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 xml:space="preserve">Table 1 Different simulation cases </w:t>
      </w:r>
      <w:r>
        <w:rPr>
          <w:rFonts w:ascii="Times New Roman" w:hAnsi="Times New Roman"/>
          <w:sz w:val="20"/>
          <w:szCs w:val="20"/>
        </w:rPr>
        <w:t>for</w:t>
      </w:r>
      <w:r>
        <w:rPr>
          <w:rFonts w:hint="eastAsia" w:ascii="Times New Roman" w:hAnsi="Times New Roman"/>
          <w:sz w:val="20"/>
          <w:szCs w:val="20"/>
        </w:rPr>
        <w:t xml:space="preserve"> InF-DH scenario</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4319905" cy="2472055"/>
            <wp:effectExtent l="0" t="0" r="4445" b="444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9"/>
                    <a:stretch>
                      <a:fillRect/>
                    </a:stretch>
                  </pic:blipFill>
                  <pic:spPr>
                    <a:xfrm>
                      <a:off x="0" y="0"/>
                      <a:ext cx="4319905" cy="247205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5 LOS probability for different simulation cases of InF-DH scenario</w:t>
      </w:r>
    </w:p>
    <w:p>
      <w:pPr>
        <w:snapToGrid w:val="0"/>
        <w:spacing w:before="180" w:beforeLines="50" w:after="180" w:afterLines="50" w:line="240" w:lineRule="auto"/>
        <w:jc w:val="center"/>
        <w:rPr>
          <w:rFonts w:ascii="Times New Roman" w:hAnsi="Times New Roman"/>
          <w:sz w:val="20"/>
        </w:rPr>
      </w:pPr>
    </w:p>
    <w:p>
      <w:pPr>
        <w:snapToGrid w:val="0"/>
        <w:spacing w:before="180" w:beforeLines="50" w:after="180" w:afterLines="50" w:line="240" w:lineRule="auto"/>
        <w:jc w:val="center"/>
      </w:pPr>
      <w:r>
        <w:drawing>
          <wp:inline distT="0" distB="0" distL="114300" distR="114300">
            <wp:extent cx="4319905" cy="2472055"/>
            <wp:effectExtent l="0" t="0" r="4445" b="444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0"/>
                    <a:stretch>
                      <a:fillRect/>
                    </a:stretch>
                  </pic:blipFill>
                  <pic:spPr>
                    <a:xfrm>
                      <a:off x="0" y="0"/>
                      <a:ext cx="4319905" cy="247205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rPr>
      </w:pPr>
      <w:r>
        <w:rPr>
          <w:rFonts w:hint="eastAsia" w:ascii="Times New Roman" w:hAnsi="Times New Roman"/>
          <w:sz w:val="20"/>
          <w:szCs w:val="20"/>
        </w:rPr>
        <w:t>Figure 6 CDF curve</w:t>
      </w:r>
      <w:r>
        <w:rPr>
          <w:rFonts w:ascii="Times New Roman" w:hAnsi="Times New Roman"/>
          <w:sz w:val="20"/>
          <w:szCs w:val="20"/>
        </w:rPr>
        <w:t xml:space="preserve"> of positioning error</w:t>
      </w:r>
      <w:r>
        <w:rPr>
          <w:rFonts w:hint="eastAsia" w:ascii="Times New Roman" w:hAnsi="Times New Roman"/>
          <w:sz w:val="20"/>
          <w:szCs w:val="20"/>
        </w:rPr>
        <w:t xml:space="preserve"> for different </w:t>
      </w:r>
      <w:r>
        <w:rPr>
          <w:rFonts w:hint="eastAsia" w:ascii="Times New Roman" w:hAnsi="Times New Roman"/>
          <w:sz w:val="20"/>
        </w:rPr>
        <w:t>simulation cases of InF-DH scenario with 100M Bandwidth</w:t>
      </w:r>
    </w:p>
    <w:p>
      <w:pPr>
        <w:snapToGrid w:val="0"/>
        <w:spacing w:before="180" w:beforeLines="50" w:after="180" w:afterLines="50" w:line="240" w:lineRule="auto"/>
        <w:jc w:val="center"/>
      </w:pPr>
      <w:r>
        <w:drawing>
          <wp:inline distT="0" distB="0" distL="114300" distR="114300">
            <wp:extent cx="4319905" cy="2472055"/>
            <wp:effectExtent l="0" t="0" r="4445" b="444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1"/>
                    <a:stretch>
                      <a:fillRect/>
                    </a:stretch>
                  </pic:blipFill>
                  <pic:spPr>
                    <a:xfrm>
                      <a:off x="0" y="0"/>
                      <a:ext cx="4319905" cy="247205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rPr>
      </w:pPr>
      <w:r>
        <w:rPr>
          <w:rFonts w:hint="eastAsia" w:ascii="Times New Roman" w:hAnsi="Times New Roman"/>
          <w:sz w:val="20"/>
          <w:szCs w:val="20"/>
        </w:rPr>
        <w:t>Figure 7 CDF curve</w:t>
      </w:r>
      <w:r>
        <w:rPr>
          <w:rFonts w:ascii="Times New Roman" w:hAnsi="Times New Roman"/>
          <w:sz w:val="20"/>
          <w:szCs w:val="20"/>
        </w:rPr>
        <w:t xml:space="preserve"> of positioning error</w:t>
      </w:r>
      <w:r>
        <w:rPr>
          <w:rFonts w:hint="eastAsia" w:ascii="Times New Roman" w:hAnsi="Times New Roman"/>
          <w:sz w:val="20"/>
          <w:szCs w:val="20"/>
        </w:rPr>
        <w:t xml:space="preserve"> for different </w:t>
      </w:r>
      <w:r>
        <w:rPr>
          <w:rFonts w:hint="eastAsia" w:ascii="Times New Roman" w:hAnsi="Times New Roman"/>
          <w:sz w:val="20"/>
        </w:rPr>
        <w:t>simulation cases of InF-DH scenario with 400M Bandwidth</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4</w:t>
      </w:r>
      <w:r>
        <w:rPr>
          <w:rFonts w:ascii="Times New Roman" w:hAnsi="Times New Roman"/>
          <w:b/>
          <w:i/>
          <w:sz w:val="20"/>
          <w:szCs w:val="20"/>
        </w:rPr>
        <w:t xml:space="preserve">: </w:t>
      </w:r>
      <w:r>
        <w:rPr>
          <w:rFonts w:hint="eastAsia" w:ascii="Times New Roman" w:hAnsi="Times New Roman"/>
          <w:i/>
          <w:sz w:val="20"/>
          <w:szCs w:val="20"/>
        </w:rPr>
        <w:t>The positioning accuracy increases with LOS probability. DL-TDOA method for InF-DH scenario can meet sub-meter(&lt;1m) horizontal commercial requirement only when the LOS probabil</w:t>
      </w:r>
      <w:r>
        <w:rPr>
          <w:rFonts w:ascii="Times New Roman" w:hAnsi="Times New Roman"/>
          <w:i/>
          <w:sz w:val="20"/>
          <w:szCs w:val="20"/>
        </w:rPr>
        <w:t>i</w:t>
      </w:r>
      <w:r>
        <w:rPr>
          <w:rFonts w:hint="eastAsia" w:ascii="Times New Roman" w:hAnsi="Times New Roman"/>
          <w:i/>
          <w:sz w:val="20"/>
          <w:szCs w:val="20"/>
        </w:rPr>
        <w:t>ty is comparable to InH scenario.</w:t>
      </w:r>
    </w:p>
    <w:p>
      <w:pPr>
        <w:pStyle w:val="3"/>
        <w:numPr>
          <w:ilvl w:val="0"/>
          <w:numId w:val="0"/>
        </w:numPr>
        <w:snapToGrid w:val="0"/>
        <w:spacing w:before="80" w:after="80" w:line="240" w:lineRule="auto"/>
        <w:ind w:left="720"/>
        <w:rPr>
          <w:rFonts w:ascii="Arial" w:hAnsi="Arial" w:cs="Arial"/>
          <w:sz w:val="24"/>
          <w:szCs w:val="24"/>
          <w:lang w:val="en-US"/>
        </w:rPr>
      </w:pPr>
      <w:r>
        <w:rPr>
          <w:rFonts w:hint="eastAsia" w:ascii="Arial" w:hAnsi="Arial" w:cs="Arial"/>
          <w:sz w:val="24"/>
          <w:szCs w:val="24"/>
          <w:lang w:val="en-US"/>
        </w:rPr>
        <w:t>Initial positioning</w:t>
      </w:r>
      <w:r>
        <w:rPr>
          <w:rFonts w:ascii="Arial" w:hAnsi="Arial" w:cs="Arial"/>
          <w:sz w:val="24"/>
          <w:szCs w:val="24"/>
          <w:lang w:val="en-US"/>
        </w:rPr>
        <w:t xml:space="preserve"> based on</w:t>
      </w:r>
      <w:r>
        <w:rPr>
          <w:rFonts w:hint="eastAsia" w:ascii="Arial" w:hAnsi="Arial" w:cs="Arial"/>
          <w:sz w:val="24"/>
          <w:szCs w:val="24"/>
          <w:lang w:val="en-US"/>
        </w:rPr>
        <w:t xml:space="preserve"> </w:t>
      </w:r>
      <w:r>
        <w:rPr>
          <w:rFonts w:ascii="Arial" w:hAnsi="Arial" w:cs="Arial"/>
          <w:sz w:val="24"/>
          <w:szCs w:val="24"/>
          <w:lang w:val="en-US"/>
        </w:rPr>
        <w:t>p</w:t>
      </w:r>
      <w:r>
        <w:rPr>
          <w:rFonts w:hint="eastAsia" w:ascii="Arial" w:hAnsi="Arial" w:cs="Arial"/>
          <w:sz w:val="24"/>
          <w:szCs w:val="24"/>
          <w:lang w:val="en-US"/>
        </w:rPr>
        <w:t>rior channel information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addition to increase the LOS probabil</w:t>
      </w:r>
      <w:r>
        <w:rPr>
          <w:rFonts w:ascii="Times New Roman" w:hAnsi="Times New Roman"/>
          <w:sz w:val="20"/>
          <w:szCs w:val="20"/>
        </w:rPr>
        <w:t>i</w:t>
      </w:r>
      <w:r>
        <w:rPr>
          <w:rFonts w:hint="eastAsia" w:ascii="Times New Roman" w:hAnsi="Times New Roman"/>
          <w:sz w:val="20"/>
          <w:szCs w:val="20"/>
        </w:rPr>
        <w:t>ty of InF-DH scenario, we sho</w:t>
      </w:r>
      <w:r>
        <w:rPr>
          <w:rFonts w:ascii="Times New Roman" w:hAnsi="Times New Roman"/>
          <w:sz w:val="20"/>
          <w:szCs w:val="20"/>
        </w:rPr>
        <w:t>u</w:t>
      </w:r>
      <w:r>
        <w:rPr>
          <w:rFonts w:hint="eastAsia" w:ascii="Times New Roman" w:hAnsi="Times New Roman"/>
          <w:sz w:val="20"/>
          <w:szCs w:val="20"/>
        </w:rPr>
        <w:t>ld also consider that if we can improve positioning under low LOS pr</w:t>
      </w:r>
      <w:r>
        <w:rPr>
          <w:rFonts w:ascii="Times New Roman" w:hAnsi="Times New Roman"/>
          <w:sz w:val="20"/>
          <w:szCs w:val="20"/>
        </w:rPr>
        <w:t>o</w:t>
      </w:r>
      <w:r>
        <w:rPr>
          <w:rFonts w:hint="eastAsia" w:ascii="Times New Roman" w:hAnsi="Times New Roman"/>
          <w:sz w:val="20"/>
          <w:szCs w:val="20"/>
        </w:rPr>
        <w:t>bability. As we know, IIOT scenarios are all for indoor scenarios, there are some methods, such as the prior channel information of the area, can be used to get initial positioning. Fingerprint based method is the most famous one. In order to conduct the simulation of fingerprint based method, we have assumed the following assumptions</w:t>
      </w:r>
      <w:r>
        <w:rPr>
          <w:rFonts w:ascii="Times New Roman" w:hAnsi="Times New Roman"/>
          <w:sz w:val="20"/>
          <w:szCs w:val="20"/>
        </w:rPr>
        <w:t>.</w:t>
      </w:r>
    </w:p>
    <w:p>
      <w:pPr>
        <w:pStyle w:val="92"/>
        <w:numPr>
          <w:ilvl w:val="0"/>
          <w:numId w:val="4"/>
        </w:numPr>
        <w:snapToGrid w:val="0"/>
        <w:spacing w:before="180" w:beforeLines="50" w:after="180" w:afterLines="50" w:line="240" w:lineRule="auto"/>
        <w:ind w:firstLineChars="0"/>
        <w:jc w:val="both"/>
        <w:rPr>
          <w:rFonts w:ascii="Times New Roman" w:hAnsi="Times New Roman"/>
          <w:sz w:val="20"/>
          <w:szCs w:val="20"/>
        </w:rPr>
      </w:pPr>
      <w:r>
        <w:rPr>
          <w:rFonts w:hint="eastAsia" w:ascii="Times New Roman" w:hAnsi="Times New Roman"/>
          <w:sz w:val="20"/>
          <w:szCs w:val="20"/>
        </w:rPr>
        <w:t>Many landmarks are put in the intersection of square grids. The landmark acquires RSRPs of all links between BSs and landmark.</w:t>
      </w:r>
    </w:p>
    <w:p>
      <w:pPr>
        <w:pStyle w:val="92"/>
        <w:numPr>
          <w:ilvl w:val="0"/>
          <w:numId w:val="4"/>
        </w:numPr>
        <w:snapToGrid w:val="0"/>
        <w:spacing w:before="180" w:beforeLines="50" w:after="180" w:afterLines="50" w:line="240" w:lineRule="auto"/>
        <w:ind w:firstLineChars="0"/>
        <w:jc w:val="both"/>
        <w:rPr>
          <w:rFonts w:ascii="Times New Roman" w:hAnsi="Times New Roman"/>
          <w:sz w:val="20"/>
          <w:szCs w:val="20"/>
        </w:rPr>
      </w:pPr>
      <w:r>
        <w:rPr>
          <w:rFonts w:hint="eastAsia" w:ascii="Times New Roman" w:hAnsi="Times New Roman"/>
          <w:sz w:val="20"/>
          <w:szCs w:val="20"/>
        </w:rPr>
        <w:t xml:space="preserve">The grid sizes are </w:t>
      </w:r>
      <m:oMath>
        <m:r>
          <m:rPr>
            <m:sty m:val="p"/>
          </m:rPr>
          <w:rPr>
            <w:rFonts w:ascii="Cambria Math" w:hAnsi="Cambria Math"/>
            <w:sz w:val="20"/>
            <w:szCs w:val="20"/>
          </w:rPr>
          <m:t>1×1</m:t>
        </m:r>
      </m:oMath>
      <w:r>
        <w:rPr>
          <w:rFonts w:ascii="Times New Roman" w:hAnsi="Times New Roman"/>
          <w:sz w:val="20"/>
          <w:szCs w:val="20"/>
        </w:rPr>
        <w:t xml:space="preserve"> </w:t>
      </w:r>
      <w:r>
        <w:rPr>
          <w:rFonts w:hint="eastAsia" w:ascii="Times New Roman" w:hAnsi="Times New Roman"/>
          <w:sz w:val="20"/>
          <w:szCs w:val="20"/>
        </w:rPr>
        <w:t xml:space="preserve">m2, </w:t>
      </w:r>
      <m:oMath>
        <m:r>
          <m:rPr>
            <m:sty m:val="p"/>
          </m:rPr>
          <w:rPr>
            <w:rFonts w:ascii="Cambria Math" w:hAnsi="Cambria Math"/>
            <w:sz w:val="20"/>
            <w:szCs w:val="20"/>
          </w:rPr>
          <m:t>2×2</m:t>
        </m:r>
      </m:oMath>
      <w:r>
        <w:rPr>
          <w:rFonts w:ascii="Times New Roman" w:hAnsi="Times New Roman"/>
          <w:sz w:val="20"/>
          <w:szCs w:val="20"/>
        </w:rPr>
        <w:t xml:space="preserve"> </w:t>
      </w:r>
      <w:r>
        <w:rPr>
          <w:rFonts w:hint="eastAsia" w:ascii="Times New Roman" w:hAnsi="Times New Roman"/>
          <w:sz w:val="20"/>
          <w:szCs w:val="20"/>
        </w:rPr>
        <w:t xml:space="preserve">m2, </w:t>
      </w:r>
      <m:oMath>
        <m:r>
          <m:rPr>
            <m:sty m:val="p"/>
          </m:rPr>
          <w:rPr>
            <w:rFonts w:ascii="Cambria Math" w:hAnsi="Cambria Math"/>
            <w:sz w:val="20"/>
            <w:szCs w:val="20"/>
          </w:rPr>
          <m:t>4×4</m:t>
        </m:r>
      </m:oMath>
      <w:r>
        <w:rPr>
          <w:rFonts w:ascii="Times New Roman" w:hAnsi="Times New Roman"/>
          <w:sz w:val="20"/>
          <w:szCs w:val="20"/>
        </w:rPr>
        <w:t xml:space="preserve"> </w:t>
      </w:r>
      <w:r>
        <w:rPr>
          <w:rFonts w:hint="eastAsia" w:ascii="Times New Roman" w:hAnsi="Times New Roman"/>
          <w:sz w:val="20"/>
          <w:szCs w:val="20"/>
        </w:rPr>
        <w:t xml:space="preserve">m2, </w:t>
      </w:r>
      <m:oMath>
        <m:r>
          <m:rPr>
            <m:sty m:val="p"/>
          </m:rPr>
          <w:rPr>
            <w:rFonts w:ascii="Cambria Math" w:hAnsi="Cambria Math"/>
            <w:sz w:val="20"/>
            <w:szCs w:val="20"/>
          </w:rPr>
          <m:t>8×8</m:t>
        </m:r>
      </m:oMath>
      <w:r>
        <w:rPr>
          <w:rFonts w:hint="eastAsia" w:ascii="Times New Roman" w:hAnsi="Times New Roman"/>
          <w:sz w:val="20"/>
          <w:szCs w:val="20"/>
        </w:rPr>
        <w:t xml:space="preserve"> m2 respectively.</w:t>
      </w:r>
    </w:p>
    <w:p>
      <w:pPr>
        <w:pStyle w:val="92"/>
        <w:numPr>
          <w:ilvl w:val="0"/>
          <w:numId w:val="4"/>
        </w:numPr>
        <w:snapToGrid w:val="0"/>
        <w:spacing w:before="180" w:beforeLines="50" w:after="180" w:afterLines="50" w:line="240" w:lineRule="auto"/>
        <w:ind w:firstLineChars="0"/>
        <w:jc w:val="both"/>
        <w:rPr>
          <w:rFonts w:ascii="Times New Roman" w:hAnsi="Times New Roman"/>
          <w:sz w:val="20"/>
          <w:szCs w:val="20"/>
        </w:rPr>
      </w:pPr>
      <w:r>
        <w:rPr>
          <w:rFonts w:ascii="Times New Roman" w:hAnsi="Times New Roman"/>
          <w:sz w:val="20"/>
          <w:szCs w:val="20"/>
        </w:rPr>
        <w:t>RSRP and the location of landmarks are provided to UE as prior channel information.</w:t>
      </w:r>
    </w:p>
    <w:p>
      <w:pPr>
        <w:pStyle w:val="92"/>
        <w:numPr>
          <w:ilvl w:val="0"/>
          <w:numId w:val="4"/>
        </w:numPr>
        <w:snapToGrid w:val="0"/>
        <w:spacing w:before="180" w:beforeLines="50" w:after="180" w:afterLines="50" w:line="240" w:lineRule="auto"/>
        <w:ind w:firstLineChars="0"/>
        <w:jc w:val="both"/>
        <w:rPr>
          <w:rFonts w:ascii="Times New Roman" w:hAnsi="Times New Roman"/>
          <w:sz w:val="20"/>
          <w:szCs w:val="20"/>
        </w:rPr>
      </w:pPr>
      <w:r>
        <w:rPr>
          <w:rFonts w:ascii="Times New Roman" w:hAnsi="Times New Roman"/>
          <w:sz w:val="20"/>
          <w:szCs w:val="20"/>
        </w:rPr>
        <w:t>UEs use prior channel information and local RSRP measured by DL PRS to get initial positioning.</w:t>
      </w:r>
    </w:p>
    <w:p>
      <w:pPr>
        <w:pStyle w:val="92"/>
        <w:numPr>
          <w:ilvl w:val="0"/>
          <w:numId w:val="4"/>
        </w:numPr>
        <w:snapToGrid w:val="0"/>
        <w:spacing w:before="180" w:beforeLines="50" w:after="180" w:afterLines="50" w:line="240" w:lineRule="auto"/>
        <w:ind w:firstLineChars="0"/>
        <w:jc w:val="both"/>
        <w:rPr>
          <w:rFonts w:ascii="Times New Roman" w:hAnsi="Times New Roman"/>
          <w:sz w:val="20"/>
          <w:szCs w:val="20"/>
        </w:rPr>
      </w:pPr>
      <w:r>
        <w:rPr>
          <w:rFonts w:ascii="Times New Roman" w:hAnsi="Times New Roman"/>
          <w:sz w:val="20"/>
          <w:szCs w:val="20"/>
        </w:rPr>
        <w:t>KNN (K-Nearest Neighbor) algorithm is applied.</w:t>
      </w:r>
    </w:p>
    <w:p>
      <w:pPr>
        <w:jc w:val="center"/>
      </w:pPr>
      <w:r>
        <w:drawing>
          <wp:inline distT="0" distB="0" distL="114300" distR="114300">
            <wp:extent cx="4319905" cy="2472055"/>
            <wp:effectExtent l="0" t="0" r="444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4319905" cy="247205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rPr>
      </w:pPr>
      <w:r>
        <w:rPr>
          <w:rFonts w:hint="eastAsia" w:ascii="Times New Roman" w:hAnsi="Times New Roman"/>
          <w:sz w:val="20"/>
          <w:szCs w:val="20"/>
        </w:rPr>
        <w:t>Figure 8 CDF curve</w:t>
      </w:r>
      <w:r>
        <w:rPr>
          <w:rFonts w:ascii="Times New Roman" w:hAnsi="Times New Roman"/>
          <w:sz w:val="20"/>
          <w:szCs w:val="20"/>
        </w:rPr>
        <w:t xml:space="preserve"> of positioning error </w:t>
      </w:r>
      <w:r>
        <w:rPr>
          <w:rFonts w:hint="eastAsia" w:ascii="Times New Roman" w:hAnsi="Times New Roman"/>
          <w:sz w:val="20"/>
          <w:szCs w:val="20"/>
        </w:rPr>
        <w:t xml:space="preserve">for </w:t>
      </w:r>
      <w:r>
        <w:rPr>
          <w:rFonts w:hint="eastAsia" w:ascii="Times New Roman" w:hAnsi="Times New Roman"/>
          <w:sz w:val="20"/>
        </w:rPr>
        <w:t>InF-DH scenario based on DL-TDOA method and fingerprint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5</w:t>
      </w:r>
      <w:r>
        <w:rPr>
          <w:rFonts w:ascii="Times New Roman" w:hAnsi="Times New Roman"/>
          <w:b/>
          <w:i/>
          <w:sz w:val="20"/>
          <w:szCs w:val="20"/>
        </w:rPr>
        <w:t xml:space="preserve">: </w:t>
      </w:r>
      <w:r>
        <w:rPr>
          <w:rFonts w:hint="eastAsia" w:ascii="Times New Roman" w:hAnsi="Times New Roman"/>
          <w:i/>
          <w:sz w:val="20"/>
          <w:szCs w:val="20"/>
        </w:rPr>
        <w:t xml:space="preserve">The fingerprint based method can get initial positioning which is </w:t>
      </w:r>
      <w:r>
        <w:rPr>
          <w:rFonts w:ascii="Times New Roman" w:hAnsi="Times New Roman"/>
          <w:i/>
          <w:sz w:val="20"/>
          <w:szCs w:val="20"/>
        </w:rPr>
        <w:t xml:space="preserve">more accurate than DL-TDOA method </w:t>
      </w:r>
      <w:r>
        <w:rPr>
          <w:rFonts w:hint="eastAsia" w:ascii="Times New Roman" w:hAnsi="Times New Roman"/>
          <w:i/>
          <w:sz w:val="20"/>
          <w:szCs w:val="20"/>
        </w:rPr>
        <w:t>for</w:t>
      </w:r>
      <w:r>
        <w:rPr>
          <w:rFonts w:ascii="Times New Roman" w:hAnsi="Times New Roman"/>
          <w:i/>
          <w:sz w:val="20"/>
          <w:szCs w:val="20"/>
        </w:rPr>
        <w:t xml:space="preserve"> InF-DH scenario with the configuration</w:t>
      </w:r>
      <w:r>
        <w:rPr>
          <w:rFonts w:hint="eastAsia" w:ascii="Times New Roman" w:hAnsi="Times New Roman"/>
          <w:i/>
          <w:sz w:val="20"/>
          <w:szCs w:val="20"/>
        </w:rPr>
        <w:t>s</w:t>
      </w:r>
      <w:r>
        <w:rPr>
          <w:rFonts w:ascii="Times New Roman" w:hAnsi="Times New Roman"/>
          <w:i/>
          <w:sz w:val="20"/>
          <w:szCs w:val="20"/>
        </w:rPr>
        <w:t xml:space="preserve"> according to Table 7.8-7 in TS 38.855.</w:t>
      </w: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0" w:lineRule="atLeast"/>
        <w:rPr>
          <w:rFonts w:ascii="Times New Roman" w:hAnsi="Times New Roman" w:eastAsia="宋体"/>
          <w:iCs/>
          <w:sz w:val="20"/>
          <w:szCs w:val="20"/>
        </w:rPr>
      </w:pPr>
      <w:bookmarkStart w:id="7" w:name="OLE_LINK11"/>
      <w:bookmarkStart w:id="8" w:name="OLE_LINK10"/>
      <w:r>
        <w:rPr>
          <w:rFonts w:hint="eastAsia" w:ascii="Times New Roman" w:hAnsi="Times New Roman" w:eastAsia="宋体"/>
          <w:iCs/>
          <w:sz w:val="20"/>
          <w:szCs w:val="20"/>
        </w:rPr>
        <w:t>In this contribution, we provide evaluation results of additional scenarios for positioning. Based on the evaluation, we have the following observations,</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Observation 1:</w:t>
      </w:r>
      <w:r>
        <w:rPr>
          <w:rFonts w:ascii="Times New Roman" w:hAnsi="Times New Roman"/>
          <w:i/>
          <w:sz w:val="20"/>
          <w:szCs w:val="20"/>
        </w:rPr>
        <w:t xml:space="preserve"> </w:t>
      </w:r>
      <w:r>
        <w:rPr>
          <w:rFonts w:hint="eastAsia" w:ascii="Times New Roman" w:hAnsi="Times New Roman"/>
          <w:i/>
          <w:sz w:val="20"/>
          <w:szCs w:val="20"/>
        </w:rPr>
        <w:t>The sub-meter(&lt;1m) horizontal commercial requirement for at least 80% of UEs can be met only in InF-SH scenario with perfect synchronization with 400 MHz Bandwidth.</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2</w:t>
      </w:r>
      <w:r>
        <w:rPr>
          <w:rFonts w:ascii="Times New Roman" w:hAnsi="Times New Roman"/>
          <w:b/>
          <w:i/>
          <w:sz w:val="20"/>
          <w:szCs w:val="20"/>
        </w:rPr>
        <w:t>:</w:t>
      </w:r>
      <w:r>
        <w:rPr>
          <w:rFonts w:ascii="Times New Roman" w:hAnsi="Times New Roman"/>
          <w:i/>
          <w:sz w:val="20"/>
          <w:szCs w:val="20"/>
        </w:rPr>
        <w:t xml:space="preserve"> </w:t>
      </w:r>
      <w:r>
        <w:rPr>
          <w:rFonts w:hint="eastAsia" w:ascii="Times New Roman" w:hAnsi="Times New Roman"/>
          <w:i/>
          <w:sz w:val="20"/>
          <w:szCs w:val="20"/>
        </w:rPr>
        <w:t>The positioning accuracy from high to low are InF-SH，InF-SL, InF-DH, InF-DL. The positioning accuracy of dense clutter scenarios</w:t>
      </w:r>
      <w:r>
        <w:rPr>
          <w:rFonts w:ascii="Times New Roman" w:hAnsi="Times New Roman"/>
          <w:i/>
          <w:sz w:val="20"/>
          <w:szCs w:val="20"/>
        </w:rPr>
        <w:t xml:space="preserve"> </w:t>
      </w:r>
      <w:r>
        <w:rPr>
          <w:rFonts w:hint="eastAsia" w:ascii="Times New Roman" w:hAnsi="Times New Roman"/>
          <w:i/>
          <w:sz w:val="20"/>
          <w:szCs w:val="20"/>
        </w:rPr>
        <w:t>(InF-DL, InF-DH) are much worse than sparse clutter scenarios</w:t>
      </w:r>
      <w:r>
        <w:rPr>
          <w:rFonts w:ascii="Times New Roman" w:hAnsi="Times New Roman"/>
          <w:i/>
          <w:sz w:val="20"/>
          <w:szCs w:val="20"/>
        </w:rPr>
        <w:t xml:space="preserve"> </w:t>
      </w:r>
      <w:r>
        <w:rPr>
          <w:rFonts w:hint="eastAsia" w:ascii="Times New Roman" w:hAnsi="Times New Roman"/>
          <w:i/>
          <w:sz w:val="20"/>
          <w:szCs w:val="20"/>
        </w:rPr>
        <w:t>(InF-SL, InF-SH).</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3</w:t>
      </w:r>
      <w:r>
        <w:rPr>
          <w:rFonts w:ascii="Times New Roman" w:hAnsi="Times New Roman"/>
          <w:b/>
          <w:i/>
          <w:sz w:val="20"/>
          <w:szCs w:val="20"/>
        </w:rPr>
        <w:t xml:space="preserve">: </w:t>
      </w:r>
      <w:r>
        <w:rPr>
          <w:rFonts w:hint="eastAsia" w:ascii="Times New Roman" w:hAnsi="Times New Roman"/>
          <w:i/>
          <w:sz w:val="20"/>
          <w:szCs w:val="20"/>
        </w:rPr>
        <w:t>The simulation cases with synchronization error lead to significant p</w:t>
      </w:r>
      <w:r>
        <w:rPr>
          <w:rFonts w:ascii="Times New Roman" w:hAnsi="Times New Roman"/>
          <w:i/>
          <w:sz w:val="20"/>
          <w:szCs w:val="20"/>
        </w:rPr>
        <w:t>er</w:t>
      </w:r>
      <w:r>
        <w:rPr>
          <w:rFonts w:hint="eastAsia" w:ascii="Times New Roman" w:hAnsi="Times New Roman"/>
          <w:i/>
          <w:sz w:val="20"/>
          <w:szCs w:val="20"/>
        </w:rPr>
        <w:t>forma</w:t>
      </w:r>
      <w:r>
        <w:rPr>
          <w:rFonts w:ascii="Times New Roman" w:hAnsi="Times New Roman"/>
          <w:i/>
          <w:sz w:val="20"/>
          <w:szCs w:val="20"/>
        </w:rPr>
        <w:t>n</w:t>
      </w:r>
      <w:r>
        <w:rPr>
          <w:rFonts w:hint="eastAsia" w:ascii="Times New Roman" w:hAnsi="Times New Roman"/>
          <w:i/>
          <w:sz w:val="20"/>
          <w:szCs w:val="20"/>
        </w:rPr>
        <w:t>ce degradation. For example,</w:t>
      </w:r>
    </w:p>
    <w:p>
      <w:pPr>
        <w:pStyle w:val="92"/>
        <w:numPr>
          <w:ilvl w:val="0"/>
          <w:numId w:val="3"/>
        </w:numPr>
        <w:snapToGrid w:val="0"/>
        <w:spacing w:before="180" w:beforeLines="50" w:after="180" w:afterLines="50" w:line="240" w:lineRule="auto"/>
        <w:ind w:firstLineChars="0"/>
        <w:jc w:val="both"/>
        <w:rPr>
          <w:rFonts w:ascii="Times New Roman" w:hAnsi="Times New Roman"/>
          <w:i/>
          <w:sz w:val="20"/>
          <w:szCs w:val="20"/>
        </w:rPr>
      </w:pPr>
      <w:r>
        <w:rPr>
          <w:rFonts w:hint="eastAsia" w:ascii="Times New Roman" w:hAnsi="Times New Roman"/>
          <w:i/>
          <w:sz w:val="20"/>
          <w:szCs w:val="20"/>
        </w:rPr>
        <w:t>9 m performance loss in InF-SH scenario compared with perfect synchronization with 100 MHz Bandwidth for at least 80% UEs.</w:t>
      </w:r>
    </w:p>
    <w:p>
      <w:pPr>
        <w:pStyle w:val="92"/>
        <w:numPr>
          <w:ilvl w:val="0"/>
          <w:numId w:val="3"/>
        </w:numPr>
        <w:snapToGrid w:val="0"/>
        <w:spacing w:before="180" w:beforeLines="50" w:after="180" w:afterLines="50" w:line="240" w:lineRule="auto"/>
        <w:ind w:firstLineChars="0"/>
        <w:jc w:val="both"/>
        <w:rPr>
          <w:rFonts w:ascii="Times New Roman" w:hAnsi="Times New Roman"/>
          <w:i/>
          <w:sz w:val="20"/>
          <w:szCs w:val="20"/>
        </w:rPr>
      </w:pPr>
      <w:r>
        <w:rPr>
          <w:rFonts w:hint="eastAsia" w:ascii="Times New Roman" w:hAnsi="Times New Roman"/>
          <w:i/>
          <w:sz w:val="20"/>
          <w:szCs w:val="20"/>
        </w:rPr>
        <w:t>7 m performance loss in InF-SH scenario compared with perfect synchronization with 400 MHz Bandwidth for at least 80% UEs.</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4</w:t>
      </w:r>
      <w:r>
        <w:rPr>
          <w:rFonts w:ascii="Times New Roman" w:hAnsi="Times New Roman"/>
          <w:b/>
          <w:i/>
          <w:sz w:val="20"/>
          <w:szCs w:val="20"/>
        </w:rPr>
        <w:t xml:space="preserve">: </w:t>
      </w:r>
      <w:r>
        <w:rPr>
          <w:rFonts w:hint="eastAsia" w:ascii="Times New Roman" w:hAnsi="Times New Roman"/>
          <w:i/>
          <w:sz w:val="20"/>
          <w:szCs w:val="20"/>
        </w:rPr>
        <w:t>The positioning accuracy increases with LOS probability. DL-TDOA method for InF-DH scenario can meet sub-meter(&lt;1m) horizontal commercial requirement only when the LOS probabil</w:t>
      </w:r>
      <w:r>
        <w:rPr>
          <w:rFonts w:ascii="Times New Roman" w:hAnsi="Times New Roman"/>
          <w:i/>
          <w:sz w:val="20"/>
          <w:szCs w:val="20"/>
        </w:rPr>
        <w:t>i</w:t>
      </w:r>
      <w:r>
        <w:rPr>
          <w:rFonts w:hint="eastAsia" w:ascii="Times New Roman" w:hAnsi="Times New Roman"/>
          <w:i/>
          <w:sz w:val="20"/>
          <w:szCs w:val="20"/>
        </w:rPr>
        <w:t>ty is comparable to InH scenario.</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5</w:t>
      </w:r>
      <w:r>
        <w:rPr>
          <w:rFonts w:ascii="Times New Roman" w:hAnsi="Times New Roman"/>
          <w:b/>
          <w:i/>
          <w:sz w:val="20"/>
          <w:szCs w:val="20"/>
        </w:rPr>
        <w:t xml:space="preserve">: </w:t>
      </w:r>
      <w:r>
        <w:rPr>
          <w:rFonts w:hint="eastAsia" w:ascii="Times New Roman" w:hAnsi="Times New Roman"/>
          <w:i/>
          <w:sz w:val="20"/>
          <w:szCs w:val="20"/>
        </w:rPr>
        <w:t xml:space="preserve">The fingerprint based method can get initial positioning which is </w:t>
      </w:r>
      <w:r>
        <w:rPr>
          <w:rFonts w:ascii="Times New Roman" w:hAnsi="Times New Roman"/>
          <w:i/>
          <w:sz w:val="20"/>
          <w:szCs w:val="20"/>
        </w:rPr>
        <w:t xml:space="preserve">more accurate than DL-TDOA method </w:t>
      </w:r>
      <w:r>
        <w:rPr>
          <w:rFonts w:hint="eastAsia" w:ascii="Times New Roman" w:hAnsi="Times New Roman"/>
          <w:i/>
          <w:sz w:val="20"/>
          <w:szCs w:val="20"/>
        </w:rPr>
        <w:t>for</w:t>
      </w:r>
      <w:r>
        <w:rPr>
          <w:rFonts w:ascii="Times New Roman" w:hAnsi="Times New Roman"/>
          <w:i/>
          <w:sz w:val="20"/>
          <w:szCs w:val="20"/>
        </w:rPr>
        <w:t xml:space="preserve"> InF-DH scenario with the configuration</w:t>
      </w:r>
      <w:r>
        <w:rPr>
          <w:rFonts w:hint="eastAsia" w:ascii="Times New Roman" w:hAnsi="Times New Roman"/>
          <w:i/>
          <w:sz w:val="20"/>
          <w:szCs w:val="20"/>
        </w:rPr>
        <w:t>s</w:t>
      </w:r>
      <w:r>
        <w:rPr>
          <w:rFonts w:ascii="Times New Roman" w:hAnsi="Times New Roman"/>
          <w:i/>
          <w:sz w:val="20"/>
          <w:szCs w:val="20"/>
        </w:rPr>
        <w:t xml:space="preserve"> according to Table 7.8-7 in TS 38.855.</w:t>
      </w:r>
    </w:p>
    <w:p>
      <w:pPr>
        <w:pStyle w:val="2"/>
        <w:snapToGrid w:val="0"/>
        <w:spacing w:before="180" w:beforeLines="50" w:after="180" w:afterLines="50"/>
        <w:ind w:left="431" w:hanging="431"/>
        <w:rPr>
          <w:sz w:val="28"/>
          <w:lang w:val="en-US"/>
        </w:rPr>
      </w:pPr>
      <w:r>
        <w:rPr>
          <w:sz w:val="28"/>
          <w:lang w:val="en-US"/>
        </w:rPr>
        <w:t>References</w:t>
      </w:r>
    </w:p>
    <w:bookmarkEnd w:id="7"/>
    <w:bookmarkEnd w:id="8"/>
    <w:p>
      <w:pPr>
        <w:numPr>
          <w:ilvl w:val="0"/>
          <w:numId w:val="5"/>
        </w:numPr>
        <w:snapToGrid w:val="0"/>
        <w:spacing w:after="0" w:line="240" w:lineRule="auto"/>
        <w:jc w:val="both"/>
        <w:rPr>
          <w:rFonts w:ascii="Times New Roman" w:hAnsi="Times New Roman"/>
          <w:sz w:val="20"/>
          <w:szCs w:val="20"/>
        </w:rPr>
      </w:pPr>
      <w:r>
        <w:rPr>
          <w:rFonts w:hint="eastAsia" w:ascii="Times New Roman" w:hAnsi="Times New Roman"/>
          <w:sz w:val="20"/>
          <w:szCs w:val="20"/>
        </w:rPr>
        <w:t xml:space="preserve"> RP-193237,</w:t>
      </w:r>
      <w:r>
        <w:rPr>
          <w:rFonts w:ascii="Times New Roman" w:hAnsi="Times New Roman"/>
          <w:sz w:val="20"/>
          <w:szCs w:val="20"/>
        </w:rPr>
        <w:t xml:space="preserve"> </w:t>
      </w:r>
      <w:r>
        <w:rPr>
          <w:rFonts w:hint="eastAsia" w:ascii="Times New Roman" w:hAnsi="Times New Roman"/>
          <w:sz w:val="20"/>
          <w:szCs w:val="20"/>
        </w:rPr>
        <w:t>New SID on NR Positioning Enhancements,</w:t>
      </w:r>
      <w:r>
        <w:rPr>
          <w:rFonts w:ascii="Times New Roman" w:hAnsi="Times New Roman"/>
          <w:sz w:val="20"/>
          <w:szCs w:val="20"/>
        </w:rPr>
        <w:t xml:space="preserve"> </w:t>
      </w:r>
      <w:r>
        <w:rPr>
          <w:rFonts w:hint="eastAsia" w:ascii="Times New Roman" w:hAnsi="Times New Roman"/>
          <w:sz w:val="20"/>
          <w:szCs w:val="20"/>
        </w:rPr>
        <w:t>Qualcomm Incorporated</w:t>
      </w:r>
    </w:p>
    <w:p>
      <w:pPr>
        <w:numPr>
          <w:ilvl w:val="0"/>
          <w:numId w:val="5"/>
        </w:numPr>
        <w:snapToGrid w:val="0"/>
        <w:spacing w:after="0" w:line="240" w:lineRule="auto"/>
        <w:jc w:val="both"/>
        <w:rPr>
          <w:rFonts w:ascii="Times New Roman" w:hAnsi="Times New Roman"/>
          <w:sz w:val="20"/>
          <w:szCs w:val="20"/>
        </w:rPr>
      </w:pPr>
      <w:r>
        <w:rPr>
          <w:rFonts w:hint="eastAsia" w:ascii="Times New Roman" w:hAnsi="Times New Roman"/>
          <w:sz w:val="20"/>
          <w:szCs w:val="20"/>
        </w:rPr>
        <w:t xml:space="preserve"> R1-2003479 Additional scenarios for positioning, ZTE</w:t>
      </w:r>
    </w:p>
    <w:p>
      <w:pPr>
        <w:pStyle w:val="2"/>
        <w:numPr>
          <w:ilvl w:val="0"/>
          <w:numId w:val="0"/>
        </w:numPr>
        <w:snapToGrid w:val="0"/>
        <w:spacing w:before="180" w:beforeLines="50" w:after="180" w:afterLines="50"/>
        <w:rPr>
          <w:rFonts w:ascii="Times New Roman" w:hAnsi="Times New Roman"/>
          <w:sz w:val="28"/>
          <w:szCs w:val="28"/>
          <w:lang w:val="en-US"/>
        </w:rPr>
      </w:pPr>
      <w:r>
        <w:rPr>
          <w:rFonts w:hint="eastAsia"/>
          <w:sz w:val="28"/>
          <w:szCs w:val="28"/>
          <w:lang w:val="en-US"/>
        </w:rPr>
        <w:t>Appendix</w:t>
      </w:r>
    </w:p>
    <w:tbl>
      <w:tblPr>
        <w:tblStyle w:val="23"/>
        <w:tblW w:w="9859" w:type="dxa"/>
        <w:jc w:val="center"/>
        <w:tblInd w:w="0" w:type="dxa"/>
        <w:tblLayout w:type="fixed"/>
        <w:tblCellMar>
          <w:top w:w="0" w:type="dxa"/>
          <w:left w:w="70" w:type="dxa"/>
          <w:bottom w:w="0" w:type="dxa"/>
          <w:right w:w="70" w:type="dxa"/>
        </w:tblCellMar>
      </w:tblPr>
      <w:tblGrid>
        <w:gridCol w:w="3590"/>
        <w:gridCol w:w="2540"/>
        <w:gridCol w:w="3721"/>
        <w:gridCol w:w="8"/>
      </w:tblGrid>
      <w:tr>
        <w:tblPrEx>
          <w:tblLayout w:type="fixed"/>
          <w:tblCellMar>
            <w:top w:w="0" w:type="dxa"/>
            <w:left w:w="70" w:type="dxa"/>
            <w:bottom w:w="0" w:type="dxa"/>
            <w:right w:w="70" w:type="dxa"/>
          </w:tblCellMar>
        </w:tblPrEx>
        <w:trPr>
          <w:gridAfter w:val="1"/>
          <w:wAfter w:w="8" w:type="dxa"/>
          <w:trHeight w:val="20" w:hRule="atLeast"/>
          <w:jc w:val="center"/>
        </w:trPr>
        <w:tc>
          <w:tcPr>
            <w:tcW w:w="3590" w:type="dxa"/>
            <w:tcBorders>
              <w:top w:val="single" w:color="auto" w:sz="8" w:space="0"/>
              <w:left w:val="single" w:color="auto" w:sz="8" w:space="0"/>
              <w:bottom w:val="single" w:color="auto" w:sz="8" w:space="0"/>
              <w:right w:val="single" w:color="auto" w:sz="8" w:space="0"/>
            </w:tcBorders>
            <w:vAlign w:val="center"/>
          </w:tcPr>
          <w:p>
            <w:pPr>
              <w:pStyle w:val="55"/>
              <w:rPr>
                <w:rFonts w:ascii="Times New Roman" w:hAnsi="Times New Roman" w:eastAsia="宋体"/>
                <w:lang w:val="en-US" w:eastAsia="zh-CN"/>
              </w:rPr>
            </w:pPr>
            <w:r>
              <w:rPr>
                <w:rFonts w:ascii="Times New Roman" w:hAnsi="Times New Roman"/>
                <w:lang w:val="en-US" w:eastAsia="en-GB"/>
              </w:rPr>
              <w:t>Parameter</w:t>
            </w:r>
          </w:p>
        </w:tc>
        <w:tc>
          <w:tcPr>
            <w:tcW w:w="2540" w:type="dxa"/>
            <w:tcBorders>
              <w:top w:val="single" w:color="auto" w:sz="4" w:space="0"/>
              <w:left w:val="single" w:color="auto" w:sz="4" w:space="0"/>
              <w:bottom w:val="nil"/>
              <w:right w:val="single" w:color="auto" w:sz="4" w:space="0"/>
            </w:tcBorders>
            <w:vAlign w:val="bottom"/>
          </w:tcPr>
          <w:p>
            <w:pPr>
              <w:pStyle w:val="55"/>
              <w:rPr>
                <w:rFonts w:ascii="Times New Roman" w:hAnsi="Times New Roman"/>
                <w:lang w:val="en-US" w:eastAsia="en-GB"/>
              </w:rPr>
            </w:pPr>
            <w:r>
              <w:rPr>
                <w:rFonts w:ascii="Times New Roman" w:hAnsi="Times New Roman"/>
                <w:lang w:val="en-US" w:eastAsia="en-GB"/>
              </w:rPr>
              <w:t>FR1, 100 MHz</w:t>
            </w:r>
          </w:p>
        </w:tc>
        <w:tc>
          <w:tcPr>
            <w:tcW w:w="3721" w:type="dxa"/>
            <w:tcBorders>
              <w:top w:val="single" w:color="auto" w:sz="4" w:space="0"/>
              <w:left w:val="single" w:color="auto" w:sz="4" w:space="0"/>
              <w:bottom w:val="nil"/>
              <w:right w:val="single" w:color="auto" w:sz="4" w:space="0"/>
            </w:tcBorders>
          </w:tcPr>
          <w:p>
            <w:pPr>
              <w:pStyle w:val="55"/>
              <w:jc w:val="center"/>
              <w:rPr>
                <w:rFonts w:ascii="Times New Roman" w:hAnsi="Times New Roman"/>
                <w:lang w:val="en-US" w:eastAsia="en-GB"/>
              </w:rPr>
            </w:pPr>
            <w:bookmarkStart w:id="10" w:name="_GoBack"/>
            <w:bookmarkEnd w:id="10"/>
            <w:r>
              <w:rPr>
                <w:rFonts w:ascii="Times New Roman" w:hAnsi="Times New Roman"/>
                <w:lang w:val="en-US" w:eastAsia="en-GB"/>
              </w:rPr>
              <w:t xml:space="preserve">FR2, </w:t>
            </w:r>
            <w:r>
              <w:rPr>
                <w:rFonts w:ascii="Times New Roman" w:hAnsi="Times New Roman"/>
                <w:lang w:val="en-US" w:eastAsia="zh-CN"/>
              </w:rPr>
              <w:t>4</w:t>
            </w:r>
            <w:r>
              <w:rPr>
                <w:rFonts w:ascii="Times New Roman" w:hAnsi="Times New Roman"/>
                <w:lang w:val="en-US" w:eastAsia="en-GB"/>
              </w:rPr>
              <w:t>00 MHz</w:t>
            </w:r>
          </w:p>
        </w:tc>
      </w:tr>
      <w:tr>
        <w:tblPrEx>
          <w:tblLayout w:type="fixed"/>
          <w:tblCellMar>
            <w:top w:w="0" w:type="dxa"/>
            <w:left w:w="70" w:type="dxa"/>
            <w:bottom w:w="0" w:type="dxa"/>
            <w:right w:w="70" w:type="dxa"/>
          </w:tblCellMar>
        </w:tblPrEx>
        <w:trPr>
          <w:gridAfter w:val="1"/>
          <w:wAfter w:w="8" w:type="dxa"/>
          <w:trHeight w:val="20" w:hRule="atLeast"/>
          <w:jc w:val="center"/>
        </w:trPr>
        <w:tc>
          <w:tcPr>
            <w:tcW w:w="3590" w:type="dxa"/>
            <w:tcBorders>
              <w:top w:val="nil"/>
              <w:left w:val="single" w:color="auto" w:sz="8" w:space="0"/>
              <w:bottom w:val="single" w:color="auto" w:sz="8" w:space="0"/>
              <w:right w:val="single" w:color="auto" w:sz="8" w:space="0"/>
            </w:tcBorders>
            <w:vAlign w:val="center"/>
          </w:tcPr>
          <w:p>
            <w:pPr>
              <w:pStyle w:val="56"/>
              <w:rPr>
                <w:rFonts w:ascii="Times New Roman" w:hAnsi="Times New Roman"/>
                <w:lang w:val="en-US" w:eastAsia="en-GB"/>
              </w:rPr>
            </w:pPr>
            <w:r>
              <w:rPr>
                <w:rFonts w:ascii="Times New Roman" w:hAnsi="Times New Roman"/>
                <w:lang w:val="en-US" w:eastAsia="en-GB"/>
              </w:rPr>
              <w:t>Channel model (baseline, otherwise state any modifications)</w:t>
            </w:r>
          </w:p>
        </w:tc>
        <w:tc>
          <w:tcPr>
            <w:tcW w:w="6261" w:type="dxa"/>
            <w:gridSpan w:val="2"/>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lang w:val="en-US" w:eastAsia="en-GB"/>
              </w:rPr>
            </w:pPr>
            <w:r>
              <w:rPr>
                <w:rFonts w:ascii="Times New Roman" w:hAnsi="Times New Roman"/>
                <w:lang w:val="en-US" w:eastAsia="en-GB"/>
              </w:rPr>
              <w:t>Baseline Channel Model based on common assumptions defined related to the channel models of 3GPP TRs 38.901 / 38.802 / 37.857.</w:t>
            </w:r>
          </w:p>
        </w:tc>
      </w:tr>
      <w:tr>
        <w:tblPrEx>
          <w:tblLayout w:type="fixed"/>
          <w:tblCellMar>
            <w:top w:w="0" w:type="dxa"/>
            <w:left w:w="70" w:type="dxa"/>
            <w:bottom w:w="0" w:type="dxa"/>
            <w:right w:w="70" w:type="dxa"/>
          </w:tblCellMar>
        </w:tblPrEx>
        <w:trPr>
          <w:gridAfter w:val="1"/>
          <w:wAfter w:w="8" w:type="dxa"/>
          <w:trHeight w:val="20" w:hRule="atLeast"/>
          <w:jc w:val="center"/>
        </w:trPr>
        <w:tc>
          <w:tcPr>
            <w:tcW w:w="3590" w:type="dxa"/>
            <w:tcBorders>
              <w:top w:val="nil"/>
              <w:left w:val="single" w:color="auto" w:sz="8" w:space="0"/>
              <w:bottom w:val="single" w:color="auto" w:sz="8" w:space="0"/>
              <w:right w:val="single" w:color="auto" w:sz="8" w:space="0"/>
            </w:tcBorders>
            <w:vAlign w:val="center"/>
          </w:tcPr>
          <w:p>
            <w:pPr>
              <w:pStyle w:val="56"/>
              <w:rPr>
                <w:rFonts w:ascii="Times New Roman" w:hAnsi="Times New Roman"/>
                <w:lang w:val="en-US" w:eastAsia="en-GB"/>
              </w:rPr>
            </w:pPr>
            <w:r>
              <w:rPr>
                <w:rFonts w:ascii="Times New Roman" w:hAnsi="Times New Roman"/>
                <w:lang w:val="en-US" w:eastAsia="en-GB"/>
              </w:rPr>
              <w:t xml:space="preserve">Carrier frequency </w:t>
            </w:r>
          </w:p>
        </w:tc>
        <w:tc>
          <w:tcPr>
            <w:tcW w:w="2540"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lang w:val="en-US" w:eastAsia="en-GB"/>
              </w:rPr>
            </w:pPr>
            <w:r>
              <w:rPr>
                <w:rFonts w:ascii="Times New Roman" w:hAnsi="Times New Roman"/>
                <w:lang w:val="en-US" w:eastAsia="en-GB"/>
              </w:rPr>
              <w:t>4 GHz</w:t>
            </w:r>
          </w:p>
        </w:tc>
        <w:tc>
          <w:tcPr>
            <w:tcW w:w="3721"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lang w:val="en-US" w:eastAsia="en-GB"/>
              </w:rPr>
            </w:pPr>
            <w:r>
              <w:rPr>
                <w:rFonts w:ascii="Times New Roman" w:hAnsi="Times New Roman"/>
                <w:lang w:val="en-US" w:eastAsia="en-GB"/>
              </w:rPr>
              <w:t>30 GHz</w:t>
            </w:r>
          </w:p>
        </w:tc>
      </w:tr>
      <w:tr>
        <w:tblPrEx>
          <w:tblLayout w:type="fixed"/>
          <w:tblCellMar>
            <w:top w:w="0" w:type="dxa"/>
            <w:left w:w="70" w:type="dxa"/>
            <w:bottom w:w="0" w:type="dxa"/>
            <w:right w:w="70" w:type="dxa"/>
          </w:tblCellMar>
        </w:tblPrEx>
        <w:trPr>
          <w:gridAfter w:val="1"/>
          <w:wAfter w:w="8" w:type="dxa"/>
          <w:trHeight w:val="20" w:hRule="atLeast"/>
          <w:jc w:val="center"/>
        </w:trPr>
        <w:tc>
          <w:tcPr>
            <w:tcW w:w="3590" w:type="dxa"/>
            <w:tcBorders>
              <w:top w:val="nil"/>
              <w:left w:val="single" w:color="auto" w:sz="8" w:space="0"/>
              <w:bottom w:val="single" w:color="auto" w:sz="8" w:space="0"/>
              <w:right w:val="single" w:color="auto" w:sz="8" w:space="0"/>
            </w:tcBorders>
            <w:vAlign w:val="center"/>
          </w:tcPr>
          <w:p>
            <w:pPr>
              <w:pStyle w:val="56"/>
              <w:rPr>
                <w:rFonts w:ascii="Times New Roman" w:hAnsi="Times New Roman"/>
                <w:lang w:val="en-US" w:eastAsia="en-GB"/>
              </w:rPr>
            </w:pPr>
            <w:r>
              <w:rPr>
                <w:rFonts w:ascii="Times New Roman" w:hAnsi="Times New Roman"/>
                <w:lang w:val="en-US" w:eastAsia="en-GB"/>
              </w:rPr>
              <w:t>Subcarrier spacing</w:t>
            </w:r>
          </w:p>
        </w:tc>
        <w:tc>
          <w:tcPr>
            <w:tcW w:w="2540"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lang w:val="en-US" w:eastAsia="en-GB"/>
              </w:rPr>
            </w:pPr>
            <w:r>
              <w:rPr>
                <w:rFonts w:ascii="Times New Roman" w:hAnsi="Times New Roman"/>
                <w:lang w:val="en-US" w:eastAsia="en-GB"/>
              </w:rPr>
              <w:t>30 KHz</w:t>
            </w:r>
          </w:p>
        </w:tc>
        <w:tc>
          <w:tcPr>
            <w:tcW w:w="3721"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lang w:val="en-US" w:eastAsia="en-GB"/>
              </w:rPr>
            </w:pPr>
            <w:r>
              <w:rPr>
                <w:rFonts w:ascii="Times New Roman" w:hAnsi="Times New Roman"/>
                <w:lang w:val="en-US" w:eastAsia="zh-CN"/>
              </w:rPr>
              <w:t>120</w:t>
            </w:r>
            <w:r>
              <w:rPr>
                <w:rFonts w:ascii="Times New Roman" w:hAnsi="Times New Roman"/>
                <w:lang w:val="en-US" w:eastAsia="en-GB"/>
              </w:rPr>
              <w:t xml:space="preserve"> KHz</w:t>
            </w:r>
          </w:p>
        </w:tc>
      </w:tr>
      <w:tr>
        <w:tblPrEx>
          <w:tblLayout w:type="fixed"/>
          <w:tblCellMar>
            <w:top w:w="0" w:type="dxa"/>
            <w:left w:w="70" w:type="dxa"/>
            <w:bottom w:w="0" w:type="dxa"/>
            <w:right w:w="70" w:type="dxa"/>
          </w:tblCellMar>
        </w:tblPrEx>
        <w:trPr>
          <w:gridAfter w:val="1"/>
          <w:wAfter w:w="8" w:type="dxa"/>
          <w:trHeight w:val="20" w:hRule="atLeast"/>
          <w:jc w:val="center"/>
        </w:trPr>
        <w:tc>
          <w:tcPr>
            <w:tcW w:w="3590" w:type="dxa"/>
            <w:tcBorders>
              <w:top w:val="nil"/>
              <w:left w:val="single" w:color="auto" w:sz="8" w:space="0"/>
              <w:bottom w:val="single" w:color="auto" w:sz="4" w:space="0"/>
              <w:right w:val="single" w:color="auto" w:sz="8" w:space="0"/>
            </w:tcBorders>
            <w:vAlign w:val="center"/>
          </w:tcPr>
          <w:p>
            <w:pPr>
              <w:pStyle w:val="56"/>
              <w:rPr>
                <w:rFonts w:ascii="Times New Roman" w:hAnsi="Times New Roman"/>
                <w:lang w:val="en-US" w:eastAsia="en-GB"/>
              </w:rPr>
            </w:pPr>
            <w:r>
              <w:rPr>
                <w:rFonts w:ascii="Times New Roman" w:hAnsi="Times New Roman"/>
                <w:lang w:val="en-US" w:eastAsia="en-GB"/>
              </w:rPr>
              <w:t>Reference Signal Transmission Bandwidth</w:t>
            </w:r>
          </w:p>
        </w:tc>
        <w:tc>
          <w:tcPr>
            <w:tcW w:w="2540"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lang w:val="en-US" w:eastAsia="en-GB"/>
              </w:rPr>
            </w:pPr>
            <w:r>
              <w:rPr>
                <w:rFonts w:ascii="Times New Roman" w:hAnsi="Times New Roman"/>
                <w:lang w:val="en-US" w:eastAsia="zh-CN"/>
              </w:rPr>
              <w:t>1</w:t>
            </w:r>
            <w:r>
              <w:rPr>
                <w:rFonts w:ascii="Times New Roman" w:hAnsi="Times New Roman"/>
                <w:lang w:val="en-US" w:eastAsia="en-GB"/>
              </w:rPr>
              <w:t>00 MHz</w:t>
            </w:r>
          </w:p>
        </w:tc>
        <w:tc>
          <w:tcPr>
            <w:tcW w:w="3721"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lang w:val="en-US" w:eastAsia="en-GB"/>
              </w:rPr>
            </w:pPr>
            <w:r>
              <w:rPr>
                <w:rFonts w:ascii="Times New Roman" w:hAnsi="Times New Roman"/>
                <w:lang w:val="en-US" w:eastAsia="zh-CN"/>
              </w:rPr>
              <w:t>4</w:t>
            </w:r>
            <w:r>
              <w:rPr>
                <w:rFonts w:ascii="Times New Roman" w:hAnsi="Times New Roman"/>
                <w:lang w:val="en-US" w:eastAsia="en-GB"/>
              </w:rPr>
              <w:t>00 MHz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790" w:hRule="atLeast"/>
          <w:jc w:val="center"/>
        </w:trPr>
        <w:tc>
          <w:tcPr>
            <w:tcW w:w="3590" w:type="dxa"/>
            <w:vAlign w:val="center"/>
          </w:tcPr>
          <w:p>
            <w:pPr>
              <w:pStyle w:val="56"/>
              <w:rPr>
                <w:rFonts w:ascii="Times New Roman" w:hAnsi="Times New Roman"/>
                <w:lang w:val="en-US" w:eastAsia="zh-CN"/>
              </w:rPr>
            </w:pPr>
            <w:r>
              <w:rPr>
                <w:rFonts w:ascii="Times New Roman" w:hAnsi="Times New Roman"/>
                <w:lang w:val="en-US" w:eastAsia="en-GB"/>
              </w:rPr>
              <w:t xml:space="preserve">Reference Signal Physical Structure and Resource Allocation (RE pattern) </w:t>
            </w:r>
          </w:p>
        </w:tc>
        <w:tc>
          <w:tcPr>
            <w:tcW w:w="6269" w:type="dxa"/>
            <w:gridSpan w:val="3"/>
            <w:vAlign w:val="center"/>
          </w:tcPr>
          <w:p>
            <w:pPr>
              <w:pStyle w:val="56"/>
              <w:jc w:val="left"/>
              <w:rPr>
                <w:rFonts w:ascii="Times New Roman" w:hAnsi="Times New Roman"/>
                <w:lang w:val="en-US" w:eastAsia="zh-CN"/>
              </w:rPr>
            </w:pPr>
            <w:bookmarkStart w:id="9" w:name="OLE_LINK1"/>
            <w:r>
              <w:rPr>
                <w:rFonts w:ascii="Times New Roman" w:hAnsi="Times New Roman"/>
                <w:lang w:val="en-US" w:eastAsia="zh-CN"/>
              </w:rPr>
              <w:t>DL-PRS-CombSizeN = 6</w:t>
            </w:r>
          </w:p>
          <w:p>
            <w:pPr>
              <w:pStyle w:val="56"/>
              <w:jc w:val="left"/>
              <w:rPr>
                <w:rFonts w:ascii="Times New Roman" w:hAnsi="Times New Roman"/>
                <w:lang w:val="en-US" w:eastAsia="zh-CN"/>
              </w:rPr>
            </w:pPr>
            <w:r>
              <w:rPr>
                <w:rFonts w:ascii="Times New Roman" w:hAnsi="Times New Roman"/>
                <w:lang w:val="en-US" w:eastAsia="zh-CN"/>
              </w:rPr>
              <w:t xml:space="preserve">DL-PRS-ReOffset = </w:t>
            </w:r>
            <w:r>
              <w:rPr>
                <w:rFonts w:ascii="Times New Roman" w:hAnsi="Times New Roman"/>
                <w:lang w:val="en-US" w:eastAsia="en-GB"/>
              </w:rPr>
              <w:t>{0,3,1,4,2,5}</w:t>
            </w:r>
            <w:r>
              <w:rPr>
                <w:rFonts w:ascii="Times New Roman" w:hAnsi="Times New Roman"/>
                <w:lang w:val="en-US" w:eastAsia="zh-CN"/>
              </w:rPr>
              <w:t xml:space="preserve">  </w:t>
            </w:r>
          </w:p>
          <w:p>
            <w:pPr>
              <w:pStyle w:val="56"/>
              <w:jc w:val="left"/>
              <w:rPr>
                <w:rFonts w:ascii="Times New Roman" w:hAnsi="Times New Roman"/>
                <w:lang w:val="en-US" w:eastAsia="zh-CN"/>
              </w:rPr>
            </w:pPr>
            <w:r>
              <w:rPr>
                <w:rFonts w:ascii="Times New Roman" w:hAnsi="Times New Roman"/>
                <w:lang w:val="en-US" w:eastAsia="zh-CN"/>
              </w:rPr>
              <w:t>DL-PRS-NumSymbols = 6</w:t>
            </w:r>
          </w:p>
          <w:bookmarkEnd w:id="9"/>
          <w:p>
            <w:pPr>
              <w:pStyle w:val="56"/>
              <w:rPr>
                <w:rFonts w:ascii="Times New Roman" w:hAnsi="Times New Roman"/>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403" w:hRule="atLeast"/>
          <w:jc w:val="center"/>
        </w:trPr>
        <w:tc>
          <w:tcPr>
            <w:tcW w:w="3590" w:type="dxa"/>
            <w:vAlign w:val="center"/>
          </w:tcPr>
          <w:p>
            <w:pPr>
              <w:pStyle w:val="56"/>
              <w:rPr>
                <w:rFonts w:ascii="Times New Roman" w:hAnsi="Times New Roman"/>
                <w:lang w:val="en-US" w:eastAsia="en-GB"/>
              </w:rPr>
            </w:pPr>
            <w:r>
              <w:rPr>
                <w:rFonts w:ascii="Times New Roman" w:hAnsi="Times New Roman"/>
                <w:lang w:val="en-US" w:eastAsia="en-GB"/>
              </w:rPr>
              <w:t xml:space="preserve">Reference signal (type of sequence, number of ports, …) </w:t>
            </w:r>
          </w:p>
        </w:tc>
        <w:tc>
          <w:tcPr>
            <w:tcW w:w="6269" w:type="dxa"/>
            <w:gridSpan w:val="3"/>
            <w:vAlign w:val="center"/>
          </w:tcPr>
          <w:p>
            <w:pPr>
              <w:pStyle w:val="56"/>
              <w:jc w:val="left"/>
              <w:rPr>
                <w:rFonts w:ascii="Times New Roman" w:hAnsi="Times New Roman"/>
                <w:lang w:val="en-US" w:eastAsia="en-GB"/>
              </w:rPr>
            </w:pPr>
            <w:r>
              <w:rPr>
                <w:rFonts w:ascii="Times New Roman" w:hAnsi="Times New Roman"/>
                <w:lang w:val="en-US" w:eastAsia="en-GB"/>
              </w:rPr>
              <w:t>1 port</w:t>
            </w:r>
            <w:r>
              <w:rPr>
                <w:rFonts w:ascii="Times New Roman" w:hAnsi="Times New Roman"/>
                <w:lang w:val="en-US" w:eastAsia="zh-CN"/>
              </w:rPr>
              <w:t xml:space="preserve"> NR DL PRS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329" w:hRule="atLeast"/>
          <w:jc w:val="center"/>
        </w:trPr>
        <w:tc>
          <w:tcPr>
            <w:tcW w:w="3590" w:type="dxa"/>
            <w:vAlign w:val="center"/>
          </w:tcPr>
          <w:p>
            <w:pPr>
              <w:pStyle w:val="56"/>
              <w:rPr>
                <w:rFonts w:ascii="Times New Roman" w:hAnsi="Times New Roman"/>
                <w:lang w:val="en-US" w:eastAsia="en-GB"/>
              </w:rPr>
            </w:pPr>
            <w:r>
              <w:rPr>
                <w:rFonts w:ascii="Times New Roman" w:hAnsi="Times New Roman"/>
                <w:lang w:val="en-US" w:eastAsia="en-GB"/>
              </w:rPr>
              <w:t>Number of sites</w:t>
            </w:r>
          </w:p>
        </w:tc>
        <w:tc>
          <w:tcPr>
            <w:tcW w:w="6269" w:type="dxa"/>
            <w:gridSpan w:val="3"/>
            <w:vAlign w:val="center"/>
          </w:tcPr>
          <w:p>
            <w:pPr>
              <w:pStyle w:val="56"/>
              <w:jc w:val="left"/>
              <w:rPr>
                <w:rFonts w:ascii="Times New Roman" w:hAnsi="Times New Roman"/>
                <w:lang w:val="en-US" w:eastAsia="en-GB"/>
              </w:rPr>
            </w:pPr>
            <w:r>
              <w:rPr>
                <w:rFonts w:ascii="Times New Roman" w:hAnsi="Times New Roman"/>
                <w:lang w:val="en-US" w:eastAsia="en-GB"/>
              </w:rPr>
              <w:t>1</w:t>
            </w:r>
            <w:r>
              <w:rPr>
                <w:rFonts w:ascii="Times New Roman" w:hAnsi="Times New Roman"/>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329" w:hRule="atLeast"/>
          <w:jc w:val="center"/>
        </w:trPr>
        <w:tc>
          <w:tcPr>
            <w:tcW w:w="3590" w:type="dxa"/>
            <w:vAlign w:val="center"/>
          </w:tcPr>
          <w:p>
            <w:pPr>
              <w:pStyle w:val="56"/>
              <w:rPr>
                <w:rFonts w:ascii="Times New Roman" w:hAnsi="Times New Roman"/>
                <w:lang w:val="en-US" w:eastAsia="zh-CN"/>
              </w:rPr>
            </w:pPr>
            <w:r>
              <w:rPr>
                <w:rFonts w:ascii="Times New Roman" w:hAnsi="Times New Roman"/>
                <w:lang w:val="en-US" w:eastAsia="zh-CN"/>
              </w:rPr>
              <w:t>UE number per site</w:t>
            </w:r>
          </w:p>
        </w:tc>
        <w:tc>
          <w:tcPr>
            <w:tcW w:w="6269" w:type="dxa"/>
            <w:gridSpan w:val="3"/>
            <w:vAlign w:val="center"/>
          </w:tcPr>
          <w:p>
            <w:pPr>
              <w:pStyle w:val="56"/>
              <w:jc w:val="left"/>
              <w:rPr>
                <w:rFonts w:ascii="Times New Roman" w:hAnsi="Times New Roman"/>
                <w:lang w:val="en-US" w:eastAsia="zh-CN"/>
              </w:rPr>
            </w:pPr>
            <w:r>
              <w:rPr>
                <w:rFonts w:ascii="Times New Roman" w:hAnsi="Times New Roman"/>
                <w:lang w:val="en-US" w:eastAsia="zh-CN"/>
              </w:rPr>
              <w:t>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620" w:hRule="atLeast"/>
          <w:jc w:val="center"/>
        </w:trPr>
        <w:tc>
          <w:tcPr>
            <w:tcW w:w="3590" w:type="dxa"/>
            <w:vAlign w:val="center"/>
          </w:tcPr>
          <w:p>
            <w:pPr>
              <w:pStyle w:val="56"/>
              <w:rPr>
                <w:rFonts w:ascii="Times New Roman" w:hAnsi="Times New Roman"/>
                <w:lang w:val="en-US" w:eastAsia="en-GB"/>
              </w:rPr>
            </w:pPr>
            <w:r>
              <w:rPr>
                <w:rFonts w:ascii="Times New Roman" w:hAnsi="Times New Roman"/>
                <w:lang w:val="en-US" w:eastAsia="en-GB"/>
              </w:rPr>
              <w:t>number of occasions used per positioning estimate</w:t>
            </w:r>
          </w:p>
        </w:tc>
        <w:tc>
          <w:tcPr>
            <w:tcW w:w="6269" w:type="dxa"/>
            <w:gridSpan w:val="3"/>
            <w:vAlign w:val="center"/>
          </w:tcPr>
          <w:p>
            <w:pPr>
              <w:pStyle w:val="56"/>
              <w:jc w:val="left"/>
              <w:rPr>
                <w:rFonts w:ascii="Times New Roman" w:hAnsi="Times New Roman"/>
                <w:lang w:val="en-US" w:eastAsia="en-GB"/>
              </w:rPr>
            </w:pPr>
            <w:r>
              <w:rPr>
                <w:rFonts w:ascii="Times New Roman" w:hAnsi="Times New Roman"/>
                <w:lang w:val="en-US" w:eastAsia="en-GB"/>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329" w:hRule="atLeast"/>
          <w:jc w:val="center"/>
        </w:trPr>
        <w:tc>
          <w:tcPr>
            <w:tcW w:w="3590" w:type="dxa"/>
            <w:vAlign w:val="center"/>
          </w:tcPr>
          <w:p>
            <w:pPr>
              <w:pStyle w:val="56"/>
              <w:rPr>
                <w:rFonts w:ascii="Times New Roman" w:hAnsi="Times New Roman"/>
                <w:lang w:val="en-US" w:eastAsia="en-GB"/>
              </w:rPr>
            </w:pPr>
            <w:r>
              <w:rPr>
                <w:rFonts w:ascii="Times New Roman" w:hAnsi="Times New Roman"/>
                <w:lang w:val="en-US" w:eastAsia="en-GB"/>
              </w:rPr>
              <w:t>Power-boosting level</w:t>
            </w:r>
          </w:p>
        </w:tc>
        <w:tc>
          <w:tcPr>
            <w:tcW w:w="6269" w:type="dxa"/>
            <w:gridSpan w:val="3"/>
            <w:vAlign w:val="center"/>
          </w:tcPr>
          <w:p>
            <w:pPr>
              <w:pStyle w:val="56"/>
              <w:jc w:val="left"/>
              <w:rPr>
                <w:rFonts w:ascii="Times New Roman" w:hAnsi="Times New Roman"/>
                <w:lang w:val="en-US" w:eastAsia="en-GB"/>
              </w:rPr>
            </w:pPr>
            <w:r>
              <w:rPr>
                <w:rFonts w:ascii="Times New Roman" w:hAnsi="Times New Roman"/>
                <w:lang w:val="en-US" w:eastAsia="en-GB"/>
              </w:rPr>
              <w:t>7.8dB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620" w:hRule="atLeast"/>
          <w:jc w:val="center"/>
        </w:trPr>
        <w:tc>
          <w:tcPr>
            <w:tcW w:w="3590" w:type="dxa"/>
            <w:vAlign w:val="center"/>
          </w:tcPr>
          <w:p>
            <w:pPr>
              <w:pStyle w:val="56"/>
              <w:rPr>
                <w:rFonts w:ascii="Times New Roman" w:hAnsi="Times New Roman"/>
                <w:lang w:val="en-US" w:eastAsia="en-GB"/>
              </w:rPr>
            </w:pPr>
            <w:r>
              <w:rPr>
                <w:rFonts w:ascii="Times New Roman" w:hAnsi="Times New Roman"/>
                <w:lang w:val="en-US" w:eastAsia="en-GB"/>
              </w:rPr>
              <w:t>Uplink power control (applied/not applied)</w:t>
            </w:r>
          </w:p>
        </w:tc>
        <w:tc>
          <w:tcPr>
            <w:tcW w:w="6269" w:type="dxa"/>
            <w:gridSpan w:val="3"/>
            <w:vAlign w:val="center"/>
          </w:tcPr>
          <w:p>
            <w:pPr>
              <w:pStyle w:val="56"/>
              <w:jc w:val="left"/>
              <w:rPr>
                <w:rFonts w:ascii="Times New Roman" w:hAnsi="Times New Roman"/>
                <w:lang w:val="en-US" w:eastAsia="en-GB"/>
              </w:rPr>
            </w:pPr>
            <w:r>
              <w:rPr>
                <w:rFonts w:ascii="Times New Roman" w:hAnsi="Times New Roman"/>
                <w:lang w:val="en-US" w:eastAsia="en-GB"/>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620" w:hRule="atLeast"/>
          <w:jc w:val="center"/>
        </w:trPr>
        <w:tc>
          <w:tcPr>
            <w:tcW w:w="3590" w:type="dxa"/>
            <w:vAlign w:val="center"/>
          </w:tcPr>
          <w:p>
            <w:pPr>
              <w:pStyle w:val="56"/>
              <w:rPr>
                <w:rFonts w:ascii="Times New Roman" w:hAnsi="Times New Roman"/>
                <w:lang w:val="en-US" w:eastAsia="en-GB"/>
              </w:rPr>
            </w:pPr>
            <w:r>
              <w:rPr>
                <w:rFonts w:ascii="Times New Roman" w:hAnsi="Times New Roman"/>
                <w:lang w:val="en-US" w:eastAsia="en-GB"/>
              </w:rPr>
              <w:t>interference modelling (ideal muting, or other)</w:t>
            </w:r>
          </w:p>
        </w:tc>
        <w:tc>
          <w:tcPr>
            <w:tcW w:w="6269" w:type="dxa"/>
            <w:gridSpan w:val="3"/>
            <w:vAlign w:val="center"/>
          </w:tcPr>
          <w:p>
            <w:pPr>
              <w:pStyle w:val="56"/>
              <w:jc w:val="left"/>
              <w:rPr>
                <w:rFonts w:ascii="Times New Roman" w:hAnsi="Times New Roman"/>
                <w:lang w:val="en-US" w:eastAsia="en-GB"/>
              </w:rPr>
            </w:pPr>
            <w:r>
              <w:rPr>
                <w:rFonts w:ascii="Times New Roman" w:hAnsi="Times New Roman"/>
                <w:lang w:val="en-US" w:eastAsia="en-GB"/>
              </w:rPr>
              <w:t>Ideal muting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691" w:hRule="atLeast"/>
          <w:jc w:val="center"/>
        </w:trPr>
        <w:tc>
          <w:tcPr>
            <w:tcW w:w="3590" w:type="dxa"/>
            <w:vAlign w:val="center"/>
          </w:tcPr>
          <w:p>
            <w:pPr>
              <w:pStyle w:val="56"/>
              <w:rPr>
                <w:rFonts w:ascii="Times New Roman" w:hAnsi="Times New Roman"/>
                <w:lang w:val="en-US" w:eastAsia="en-GB"/>
              </w:rPr>
            </w:pPr>
            <w:r>
              <w:rPr>
                <w:rFonts w:ascii="Times New Roman" w:hAnsi="Times New Roman"/>
                <w:lang w:val="en-US" w:eastAsia="en-GB"/>
              </w:rPr>
              <w:t>Description of Measurement Algorithm (e.g. super resolution, interference cancellation, ….)</w:t>
            </w:r>
          </w:p>
        </w:tc>
        <w:tc>
          <w:tcPr>
            <w:tcW w:w="6269" w:type="dxa"/>
            <w:gridSpan w:val="3"/>
            <w:vAlign w:val="center"/>
          </w:tcPr>
          <w:p>
            <w:pPr>
              <w:pStyle w:val="56"/>
              <w:jc w:val="left"/>
              <w:rPr>
                <w:rFonts w:ascii="Times New Roman" w:hAnsi="Times New Roman"/>
                <w:lang w:val="en-US" w:eastAsia="zh-CN"/>
              </w:rPr>
            </w:pPr>
            <w:r>
              <w:rPr>
                <w:rFonts w:ascii="Times New Roman" w:hAnsi="Times New Roman"/>
                <w:lang w:val="en-US" w:eastAsia="zh-CN"/>
              </w:rPr>
              <w:t>MUSIC algorithm</w:t>
            </w:r>
          </w:p>
          <w:p>
            <w:pPr>
              <w:pStyle w:val="56"/>
              <w:rPr>
                <w:rFonts w:ascii="Times New Roman" w:hAnsi="Times New Roman"/>
                <w:lang w:val="en-US" w:eastAsia="zh-CN"/>
              </w:rPr>
            </w:pPr>
          </w:p>
          <w:p>
            <w:pPr>
              <w:pStyle w:val="56"/>
              <w:rPr>
                <w:rFonts w:ascii="Times New Roman" w:hAnsi="Times New Roman"/>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633" w:hRule="atLeast"/>
          <w:jc w:val="center"/>
        </w:trPr>
        <w:tc>
          <w:tcPr>
            <w:tcW w:w="3590" w:type="dxa"/>
            <w:vAlign w:val="center"/>
          </w:tcPr>
          <w:p>
            <w:pPr>
              <w:pStyle w:val="56"/>
              <w:rPr>
                <w:rFonts w:ascii="Times New Roman" w:hAnsi="Times New Roman"/>
                <w:lang w:val="en-US" w:eastAsia="en-GB"/>
              </w:rPr>
            </w:pPr>
            <w:r>
              <w:rPr>
                <w:rFonts w:ascii="Times New Roman" w:hAnsi="Times New Roman"/>
                <w:lang w:val="en-US" w:eastAsia="en-GB"/>
              </w:rPr>
              <w:t>Description of positioning technique / applied positioning algorithm (e.g. Least square, Taylor series, etc)</w:t>
            </w:r>
          </w:p>
        </w:tc>
        <w:tc>
          <w:tcPr>
            <w:tcW w:w="6269" w:type="dxa"/>
            <w:gridSpan w:val="3"/>
            <w:vAlign w:val="center"/>
          </w:tcPr>
          <w:p>
            <w:pPr>
              <w:pStyle w:val="56"/>
              <w:jc w:val="left"/>
              <w:rPr>
                <w:rFonts w:ascii="Times New Roman" w:hAnsi="Times New Roman"/>
                <w:lang w:val="en-US" w:eastAsia="en-GB"/>
              </w:rPr>
            </w:pPr>
            <w:r>
              <w:rPr>
                <w:rFonts w:ascii="Times New Roman" w:hAnsi="Times New Roman"/>
                <w:lang w:val="en-US" w:eastAsia="en-GB"/>
              </w:rPr>
              <w:t>DL-TDOA</w:t>
            </w:r>
            <w:r>
              <w:rPr>
                <w:rFonts w:ascii="Times New Roman" w:hAnsi="Times New Roman"/>
                <w:lang w:val="en-US" w:eastAsia="zh-CN"/>
              </w:rPr>
              <w:t xml:space="preserve"> </w:t>
            </w:r>
            <w:r>
              <w:rPr>
                <w:rFonts w:ascii="Times New Roman" w:hAnsi="Times New Roman"/>
                <w:lang w:val="en-US" w:eastAsia="en-GB"/>
              </w:rPr>
              <w:t>Guass-Newton algorithm</w:t>
            </w:r>
          </w:p>
          <w:p>
            <w:pPr>
              <w:pStyle w:val="56"/>
              <w:rPr>
                <w:rFonts w:ascii="Times New Roman" w:hAnsi="Times New Roman"/>
                <w:lang w:val="en-US" w:eastAsia="ja-JP"/>
              </w:rPr>
            </w:pPr>
          </w:p>
          <w:p>
            <w:pPr>
              <w:pStyle w:val="56"/>
              <w:rPr>
                <w:rFonts w:ascii="Times New Roman" w:hAnsi="Times New Roman"/>
                <w:lang w:val="en-US" w:eastAsia="ja-JP"/>
              </w:rPr>
            </w:pPr>
          </w:p>
          <w:p>
            <w:pPr>
              <w:pStyle w:val="56"/>
              <w:rPr>
                <w:rFonts w:ascii="Times New Roman" w:hAnsi="Times New Roman"/>
                <w:lang w:val="en-US" w:eastAsia="en-GB"/>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322" w:hRule="atLeast"/>
          <w:jc w:val="center"/>
        </w:trPr>
        <w:tc>
          <w:tcPr>
            <w:tcW w:w="3590" w:type="dxa"/>
            <w:vAlign w:val="center"/>
          </w:tcPr>
          <w:p>
            <w:pPr>
              <w:pStyle w:val="56"/>
              <w:rPr>
                <w:rFonts w:ascii="Times New Roman" w:hAnsi="Times New Roman"/>
                <w:lang w:val="en-US" w:eastAsia="en-GB"/>
              </w:rPr>
            </w:pPr>
            <w:r>
              <w:rPr>
                <w:rFonts w:ascii="Times New Roman" w:hAnsi="Times New Roman"/>
                <w:lang w:val="en-US" w:eastAsia="en-GB"/>
              </w:rPr>
              <w:t>Network synchronization assumptions</w:t>
            </w:r>
          </w:p>
        </w:tc>
        <w:tc>
          <w:tcPr>
            <w:tcW w:w="6269" w:type="dxa"/>
            <w:gridSpan w:val="3"/>
            <w:vAlign w:val="center"/>
          </w:tcPr>
          <w:p>
            <w:pPr>
              <w:pStyle w:val="56"/>
              <w:jc w:val="left"/>
              <w:rPr>
                <w:rFonts w:ascii="Times New Roman" w:hAnsi="Times New Roman"/>
                <w:lang w:val="en-US" w:eastAsia="en-GB"/>
              </w:rPr>
            </w:pPr>
            <w:r>
              <w:rPr>
                <w:rFonts w:ascii="Times New Roman" w:hAnsi="Times New Roman"/>
                <w:lang w:val="en-US" w:eastAsia="en-GB"/>
              </w:rPr>
              <w:t>No sync error</w:t>
            </w:r>
            <w:r>
              <w:rPr>
                <w:rFonts w:ascii="Times New Roman" w:hAnsi="Times New Roman"/>
                <w:lang w:val="en-US" w:eastAsia="zh-CN"/>
              </w:rPr>
              <w:t>，</w:t>
            </w:r>
            <w:r>
              <w:rPr>
                <w:rFonts w:ascii="Times New Roman" w:hAnsi="Times New Roman"/>
                <w:lang w:val="en-US" w:eastAsia="en-GB"/>
              </w:rPr>
              <w:t>Sync error 50ns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511" w:hRule="atLeast"/>
          <w:jc w:val="center"/>
        </w:trPr>
        <w:tc>
          <w:tcPr>
            <w:tcW w:w="3590" w:type="dxa"/>
            <w:vAlign w:val="center"/>
          </w:tcPr>
          <w:p>
            <w:pPr>
              <w:pStyle w:val="56"/>
              <w:rPr>
                <w:rFonts w:ascii="Times New Roman" w:hAnsi="Times New Roman"/>
                <w:lang w:val="en-US" w:eastAsia="en-GB"/>
              </w:rPr>
            </w:pPr>
            <w:r>
              <w:rPr>
                <w:rFonts w:ascii="Times New Roman" w:hAnsi="Times New Roman"/>
                <w:lang w:val="en-US" w:eastAsia="en-GB"/>
              </w:rPr>
              <w:t>Precoding assumptions (codebook, nrof antenna elements used, etc)</w:t>
            </w:r>
          </w:p>
        </w:tc>
        <w:tc>
          <w:tcPr>
            <w:tcW w:w="6269" w:type="dxa"/>
            <w:gridSpan w:val="3"/>
            <w:vAlign w:val="center"/>
          </w:tcPr>
          <w:p>
            <w:pPr>
              <w:pStyle w:val="56"/>
              <w:jc w:val="left"/>
              <w:rPr>
                <w:rFonts w:ascii="Times New Roman" w:hAnsi="Times New Roman"/>
                <w:lang w:val="en-US" w:eastAsia="en-GB"/>
              </w:rPr>
            </w:pPr>
            <w:r>
              <w:rPr>
                <w:rFonts w:ascii="Times New Roman" w:hAnsi="Times New Roman"/>
                <w:lang w:val="en-US" w:eastAsia="en-GB"/>
              </w:rPr>
              <w:t>DFT codebook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Ex>
        <w:trPr>
          <w:trHeight w:val="368" w:hRule="atLeast"/>
          <w:jc w:val="center"/>
        </w:trPr>
        <w:tc>
          <w:tcPr>
            <w:tcW w:w="3590" w:type="dxa"/>
            <w:vAlign w:val="center"/>
          </w:tcPr>
          <w:p>
            <w:pPr>
              <w:pStyle w:val="56"/>
              <w:rPr>
                <w:rFonts w:ascii="Times New Roman" w:hAnsi="Times New Roman"/>
                <w:lang w:val="en-US" w:eastAsia="en-GB"/>
              </w:rPr>
            </w:pPr>
            <w:r>
              <w:rPr>
                <w:rFonts w:ascii="Times New Roman" w:hAnsi="Times New Roman"/>
                <w:lang w:val="en-US" w:eastAsia="en-GB"/>
              </w:rPr>
              <w:t>Additional notes, if any</w:t>
            </w:r>
          </w:p>
        </w:tc>
        <w:tc>
          <w:tcPr>
            <w:tcW w:w="6269" w:type="dxa"/>
            <w:gridSpan w:val="3"/>
          </w:tcPr>
          <w:p>
            <w:pPr>
              <w:pStyle w:val="56"/>
              <w:numPr>
                <w:ilvl w:val="0"/>
                <w:numId w:val="6"/>
              </w:numPr>
              <w:jc w:val="left"/>
              <w:rPr>
                <w:rFonts w:ascii="Times New Roman" w:hAnsi="Times New Roman"/>
                <w:lang w:val="en-US" w:eastAsia="zh-CN"/>
              </w:rPr>
            </w:pPr>
            <w:r>
              <w:rPr>
                <w:rFonts w:ascii="Times New Roman" w:hAnsi="Times New Roman"/>
                <w:lang w:val="en-US" w:eastAsia="zh-CN"/>
              </w:rPr>
              <w:t>Only LOS path to calculate TOA</w:t>
            </w:r>
          </w:p>
          <w:p>
            <w:pPr>
              <w:pStyle w:val="56"/>
              <w:numPr>
                <w:ilvl w:val="0"/>
                <w:numId w:val="6"/>
              </w:numPr>
              <w:jc w:val="left"/>
              <w:rPr>
                <w:rFonts w:ascii="Times New Roman" w:hAnsi="Times New Roman"/>
                <w:lang w:val="en-US" w:eastAsia="zh-CN"/>
              </w:rPr>
            </w:pPr>
            <w:r>
              <w:rPr>
                <w:rFonts w:ascii="Times New Roman" w:hAnsi="Times New Roman"/>
                <w:lang w:val="en-US" w:eastAsia="zh-CN"/>
              </w:rPr>
              <w:t>The absolute time of arrival is applied according to TR 38.901</w:t>
            </w:r>
          </w:p>
        </w:tc>
      </w:tr>
    </w:tbl>
    <w:p>
      <w:pPr>
        <w:snapToGrid w:val="0"/>
        <w:spacing w:before="180" w:beforeLines="50" w:after="180" w:afterLines="50" w:line="240" w:lineRule="auto"/>
        <w:jc w:val="both"/>
        <w:rPr>
          <w:rFonts w:ascii="Times New Roman" w:hAnsi="Times New Roman"/>
          <w:sz w:val="20"/>
          <w:szCs w:val="20"/>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17893E"/>
    <w:multiLevelType w:val="singleLevel"/>
    <w:tmpl w:val="B317893E"/>
    <w:lvl w:ilvl="0" w:tentative="0">
      <w:start w:val="1"/>
      <w:numFmt w:val="decimal"/>
      <w:suff w:val="space"/>
      <w:lvlText w:val="[%1]"/>
      <w:lvlJc w:val="left"/>
    </w:lvl>
  </w:abstractNum>
  <w:abstractNum w:abstractNumId="1">
    <w:nsid w:val="058D2AAF"/>
    <w:multiLevelType w:val="multilevel"/>
    <w:tmpl w:val="058D2AAF"/>
    <w:lvl w:ilvl="0" w:tentative="0">
      <w:start w:val="3"/>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6E451895"/>
    <w:multiLevelType w:val="singleLevel"/>
    <w:tmpl w:val="6E451895"/>
    <w:lvl w:ilvl="0" w:tentative="0">
      <w:start w:val="1"/>
      <w:numFmt w:val="decimal"/>
      <w:lvlText w:val="%1."/>
      <w:lvlJc w:val="left"/>
      <w:pPr>
        <w:tabs>
          <w:tab w:val="left" w:pos="312"/>
        </w:tabs>
      </w:pPr>
    </w:lvl>
  </w:abstractNum>
  <w:abstractNum w:abstractNumId="5">
    <w:nsid w:val="74616BC4"/>
    <w:multiLevelType w:val="multilevel"/>
    <w:tmpl w:val="74616BC4"/>
    <w:lvl w:ilvl="0" w:tentative="0">
      <w:start w:val="3"/>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0D"/>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436"/>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77A"/>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B6F"/>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432"/>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175"/>
    <w:rsid w:val="001804B6"/>
    <w:rsid w:val="001805EF"/>
    <w:rsid w:val="001806E4"/>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95"/>
    <w:rsid w:val="001B0F3F"/>
    <w:rsid w:val="001B13E5"/>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42E"/>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5A4"/>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6A8"/>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5B8"/>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4EF2"/>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9CA"/>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DC0"/>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2BA"/>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23"/>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C2"/>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0B"/>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3CD"/>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873"/>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AFE"/>
    <w:rsid w:val="00517E9F"/>
    <w:rsid w:val="00517EDC"/>
    <w:rsid w:val="00517FA1"/>
    <w:rsid w:val="0052014E"/>
    <w:rsid w:val="00520493"/>
    <w:rsid w:val="00520969"/>
    <w:rsid w:val="00520BC1"/>
    <w:rsid w:val="00520BDC"/>
    <w:rsid w:val="00520C9E"/>
    <w:rsid w:val="00520E29"/>
    <w:rsid w:val="005216E5"/>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B28"/>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34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114"/>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39"/>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0B"/>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D3B"/>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D8B"/>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78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4F9"/>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7F5"/>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6"/>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259"/>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1446"/>
    <w:rsid w:val="009A209D"/>
    <w:rsid w:val="009A2116"/>
    <w:rsid w:val="009A22B7"/>
    <w:rsid w:val="009A232F"/>
    <w:rsid w:val="009A3182"/>
    <w:rsid w:val="009A3292"/>
    <w:rsid w:val="009A32EC"/>
    <w:rsid w:val="009A3546"/>
    <w:rsid w:val="009A3C59"/>
    <w:rsid w:val="009A408C"/>
    <w:rsid w:val="009A4105"/>
    <w:rsid w:val="009A41D9"/>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45"/>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F7"/>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02C"/>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937"/>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49F"/>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6AB"/>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80F"/>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F69"/>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1B"/>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1FE"/>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2AA"/>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71"/>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5F60"/>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8EA"/>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DFA"/>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BF"/>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732"/>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ED6139"/>
    <w:rsid w:val="06F01D0C"/>
    <w:rsid w:val="06F0680F"/>
    <w:rsid w:val="06F435BD"/>
    <w:rsid w:val="06F55AAE"/>
    <w:rsid w:val="06F834AC"/>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A282E"/>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56F70"/>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B209E5"/>
    <w:rsid w:val="12B43E24"/>
    <w:rsid w:val="12B80680"/>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70E3B"/>
    <w:rsid w:val="135C41A2"/>
    <w:rsid w:val="135D0726"/>
    <w:rsid w:val="13667089"/>
    <w:rsid w:val="137F2E1F"/>
    <w:rsid w:val="13834E54"/>
    <w:rsid w:val="138C3BB4"/>
    <w:rsid w:val="138E21E8"/>
    <w:rsid w:val="1398490F"/>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1409A3"/>
    <w:rsid w:val="161971DA"/>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B64BA"/>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F56E5"/>
    <w:rsid w:val="188C17ED"/>
    <w:rsid w:val="1895157E"/>
    <w:rsid w:val="18A43227"/>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949B7"/>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B372F"/>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38E4"/>
    <w:rsid w:val="237A6D5C"/>
    <w:rsid w:val="237F1315"/>
    <w:rsid w:val="237F27A7"/>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2BAB"/>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15BF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438F4"/>
    <w:rsid w:val="27181BBE"/>
    <w:rsid w:val="271E3176"/>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300E5103"/>
    <w:rsid w:val="30132A83"/>
    <w:rsid w:val="30243ECE"/>
    <w:rsid w:val="302E2308"/>
    <w:rsid w:val="303A40DD"/>
    <w:rsid w:val="304173D0"/>
    <w:rsid w:val="30442620"/>
    <w:rsid w:val="304B6BB7"/>
    <w:rsid w:val="304C1BC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2456A"/>
    <w:rsid w:val="33F96998"/>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51C0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4C24AB"/>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27B53"/>
    <w:rsid w:val="37673380"/>
    <w:rsid w:val="376936A3"/>
    <w:rsid w:val="376B0BB2"/>
    <w:rsid w:val="376B5BE2"/>
    <w:rsid w:val="37706781"/>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2248"/>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6541F"/>
    <w:rsid w:val="3A7D75EF"/>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032F6"/>
    <w:rsid w:val="3BA23EEE"/>
    <w:rsid w:val="3BA866BF"/>
    <w:rsid w:val="3BB438AE"/>
    <w:rsid w:val="3BB67C98"/>
    <w:rsid w:val="3BBD3102"/>
    <w:rsid w:val="3BC16595"/>
    <w:rsid w:val="3BC21EE9"/>
    <w:rsid w:val="3BC52358"/>
    <w:rsid w:val="3BD82617"/>
    <w:rsid w:val="3BDB327D"/>
    <w:rsid w:val="3BE6069B"/>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870A9"/>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4679D"/>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E70CC"/>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25F89"/>
    <w:rsid w:val="3EC63301"/>
    <w:rsid w:val="3ECA003B"/>
    <w:rsid w:val="3ECD13E3"/>
    <w:rsid w:val="3ED0646D"/>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3F0750"/>
    <w:rsid w:val="414C3A68"/>
    <w:rsid w:val="41516E4A"/>
    <w:rsid w:val="41581AA2"/>
    <w:rsid w:val="416C1A09"/>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77B06"/>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65015"/>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C23B2"/>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CF29B5"/>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039F"/>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E35B5F"/>
    <w:rsid w:val="4FEA54E4"/>
    <w:rsid w:val="4FED181D"/>
    <w:rsid w:val="4FF100DC"/>
    <w:rsid w:val="4FFC718E"/>
    <w:rsid w:val="50082EF5"/>
    <w:rsid w:val="500D60A8"/>
    <w:rsid w:val="50100F97"/>
    <w:rsid w:val="501446D0"/>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9E338F"/>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C0B40"/>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37752"/>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22AEA"/>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403759"/>
    <w:rsid w:val="5D405301"/>
    <w:rsid w:val="5D4A3B3F"/>
    <w:rsid w:val="5D545032"/>
    <w:rsid w:val="5D680387"/>
    <w:rsid w:val="5D6D5C66"/>
    <w:rsid w:val="5D7206A1"/>
    <w:rsid w:val="5D740B52"/>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63CB2"/>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27803"/>
    <w:rsid w:val="5FC729F3"/>
    <w:rsid w:val="5FD7706A"/>
    <w:rsid w:val="5FDB4F3D"/>
    <w:rsid w:val="5FE10819"/>
    <w:rsid w:val="5FE30BA2"/>
    <w:rsid w:val="5FF446A9"/>
    <w:rsid w:val="5FF85070"/>
    <w:rsid w:val="5FF940F0"/>
    <w:rsid w:val="5FF96E21"/>
    <w:rsid w:val="5FFC4F56"/>
    <w:rsid w:val="6007496A"/>
    <w:rsid w:val="600870EA"/>
    <w:rsid w:val="60120B4E"/>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66216"/>
    <w:rsid w:val="60990BD7"/>
    <w:rsid w:val="60A20F88"/>
    <w:rsid w:val="60A3504C"/>
    <w:rsid w:val="60A94D54"/>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4A4CE2"/>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240622"/>
    <w:rsid w:val="662411BF"/>
    <w:rsid w:val="662B361D"/>
    <w:rsid w:val="66315775"/>
    <w:rsid w:val="66467706"/>
    <w:rsid w:val="664A400E"/>
    <w:rsid w:val="664E41D9"/>
    <w:rsid w:val="664F3140"/>
    <w:rsid w:val="665610A9"/>
    <w:rsid w:val="66590DCD"/>
    <w:rsid w:val="666358BC"/>
    <w:rsid w:val="66695AF1"/>
    <w:rsid w:val="666E74C1"/>
    <w:rsid w:val="667A263F"/>
    <w:rsid w:val="66802FE7"/>
    <w:rsid w:val="66812D23"/>
    <w:rsid w:val="669A357F"/>
    <w:rsid w:val="66A31556"/>
    <w:rsid w:val="66AB4650"/>
    <w:rsid w:val="66AF5BE1"/>
    <w:rsid w:val="66B37F84"/>
    <w:rsid w:val="66B40759"/>
    <w:rsid w:val="66BE2FA5"/>
    <w:rsid w:val="66C16711"/>
    <w:rsid w:val="66C9321B"/>
    <w:rsid w:val="66CC4487"/>
    <w:rsid w:val="66D61628"/>
    <w:rsid w:val="66DC7B4A"/>
    <w:rsid w:val="66DF0004"/>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261655"/>
    <w:rsid w:val="682812E5"/>
    <w:rsid w:val="682F7DB2"/>
    <w:rsid w:val="6831388B"/>
    <w:rsid w:val="683770B8"/>
    <w:rsid w:val="683965C1"/>
    <w:rsid w:val="683B5DF7"/>
    <w:rsid w:val="68430152"/>
    <w:rsid w:val="684D72F1"/>
    <w:rsid w:val="68596E7A"/>
    <w:rsid w:val="685E0BD6"/>
    <w:rsid w:val="68627BE9"/>
    <w:rsid w:val="686C460D"/>
    <w:rsid w:val="687F5E75"/>
    <w:rsid w:val="6882283D"/>
    <w:rsid w:val="68851CBF"/>
    <w:rsid w:val="68864BA5"/>
    <w:rsid w:val="688709AF"/>
    <w:rsid w:val="689434DA"/>
    <w:rsid w:val="68956C27"/>
    <w:rsid w:val="68983320"/>
    <w:rsid w:val="689A0693"/>
    <w:rsid w:val="689E1B95"/>
    <w:rsid w:val="689F4CC7"/>
    <w:rsid w:val="689F7CF4"/>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B4885"/>
    <w:rsid w:val="6BC9376F"/>
    <w:rsid w:val="6BD1009A"/>
    <w:rsid w:val="6BE0639E"/>
    <w:rsid w:val="6BE444FA"/>
    <w:rsid w:val="6BEC66EE"/>
    <w:rsid w:val="6BF07EAA"/>
    <w:rsid w:val="6BF14A0C"/>
    <w:rsid w:val="6BF20FB8"/>
    <w:rsid w:val="6C0537C8"/>
    <w:rsid w:val="6C084114"/>
    <w:rsid w:val="6C093B94"/>
    <w:rsid w:val="6C0F41E1"/>
    <w:rsid w:val="6C0F709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A25E3"/>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87B78"/>
    <w:rsid w:val="6FBA7AB0"/>
    <w:rsid w:val="6FBC4B72"/>
    <w:rsid w:val="6FC5311F"/>
    <w:rsid w:val="6FC93ABB"/>
    <w:rsid w:val="6FD275AD"/>
    <w:rsid w:val="6FE06922"/>
    <w:rsid w:val="6FE11A6A"/>
    <w:rsid w:val="6FE91832"/>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A16A4"/>
    <w:rsid w:val="723B0B95"/>
    <w:rsid w:val="723B52B8"/>
    <w:rsid w:val="724A4324"/>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51D92"/>
    <w:rsid w:val="72D97928"/>
    <w:rsid w:val="72E34F8F"/>
    <w:rsid w:val="7301303C"/>
    <w:rsid w:val="73024E04"/>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346F0"/>
    <w:rsid w:val="75CA76E4"/>
    <w:rsid w:val="75D0763F"/>
    <w:rsid w:val="75DB5530"/>
    <w:rsid w:val="75E376A3"/>
    <w:rsid w:val="75E82B30"/>
    <w:rsid w:val="75ED5A36"/>
    <w:rsid w:val="75F532D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556B1"/>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622D"/>
    <w:rsid w:val="76A633ED"/>
    <w:rsid w:val="76AB5F51"/>
    <w:rsid w:val="76B02504"/>
    <w:rsid w:val="76B576A3"/>
    <w:rsid w:val="76C87FBA"/>
    <w:rsid w:val="76D03D47"/>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265745"/>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Balloon Text Char"/>
    <w:link w:val="18"/>
    <w:semiHidden/>
    <w:qFormat/>
    <w:uiPriority w:val="99"/>
    <w:rPr>
      <w:rFonts w:ascii="Tahoma" w:hAnsi="Tahoma" w:cs="Tahoma"/>
      <w:sz w:val="16"/>
      <w:szCs w:val="16"/>
    </w:rPr>
  </w:style>
  <w:style w:type="character" w:customStyle="1" w:styleId="30">
    <w:name w:val="Heading 1 Char"/>
    <w:link w:val="2"/>
    <w:qFormat/>
    <w:uiPriority w:val="99"/>
    <w:rPr>
      <w:rFonts w:ascii="Arial" w:hAnsi="Arial" w:eastAsia="黑体"/>
      <w:b/>
      <w:bCs/>
      <w:sz w:val="30"/>
      <w:szCs w:val="30"/>
      <w:lang w:val="zh-CN" w:eastAsia="zh-CN"/>
    </w:rPr>
  </w:style>
  <w:style w:type="character" w:customStyle="1" w:styleId="31">
    <w:name w:val="Header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Comment Text Char"/>
    <w:basedOn w:val="25"/>
    <w:link w:val="11"/>
    <w:qFormat/>
    <w:uiPriority w:val="99"/>
  </w:style>
  <w:style w:type="character" w:customStyle="1" w:styleId="34">
    <w:name w:val="Comment Subject Char"/>
    <w:link w:val="22"/>
    <w:semiHidden/>
    <w:qFormat/>
    <w:uiPriority w:val="99"/>
    <w:rPr>
      <w:b/>
      <w:bCs/>
    </w:rPr>
  </w:style>
  <w:style w:type="character" w:customStyle="1" w:styleId="35">
    <w:name w:val="Document Map Char"/>
    <w:link w:val="10"/>
    <w:semiHidden/>
    <w:qFormat/>
    <w:uiPriority w:val="99"/>
    <w:rPr>
      <w:rFonts w:ascii="宋体"/>
      <w:sz w:val="18"/>
      <w:szCs w:val="18"/>
    </w:rPr>
  </w:style>
  <w:style w:type="character" w:customStyle="1" w:styleId="36">
    <w:name w:val="Body Text Char"/>
    <w:link w:val="12"/>
    <w:qFormat/>
    <w:uiPriority w:val="0"/>
    <w:rPr>
      <w:rFonts w:ascii="Times New Roman" w:hAnsi="Times New Roman"/>
      <w:color w:val="0000FF"/>
      <w:kern w:val="2"/>
      <w:sz w:val="21"/>
    </w:rPr>
  </w:style>
  <w:style w:type="character" w:customStyle="1" w:styleId="37">
    <w:name w:val="Caption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Footer Char"/>
    <w:link w:val="19"/>
    <w:qFormat/>
    <w:uiPriority w:val="99"/>
    <w:rPr>
      <w:sz w:val="18"/>
      <w:szCs w:val="18"/>
    </w:rPr>
  </w:style>
  <w:style w:type="character" w:customStyle="1" w:styleId="40">
    <w:name w:val="Heading 2 Char"/>
    <w:link w:val="3"/>
    <w:qFormat/>
    <w:uiPriority w:val="0"/>
    <w:rPr>
      <w:rFonts w:ascii="Cambria" w:hAnsi="Cambria"/>
      <w:b/>
      <w:bCs/>
      <w:sz w:val="32"/>
      <w:szCs w:val="32"/>
      <w:lang w:val="en-US" w:eastAsia="zh-CN"/>
    </w:rPr>
  </w:style>
  <w:style w:type="character" w:customStyle="1" w:styleId="41">
    <w:name w:val="Heading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Date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Plain Text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Heading 4 Char"/>
    <w:link w:val="5"/>
    <w:qFormat/>
    <w:uiPriority w:val="0"/>
    <w:rPr>
      <w:rFonts w:ascii="Times New Roman" w:hAnsi="Times New Roman"/>
      <w:b/>
      <w:sz w:val="28"/>
      <w:szCs w:val="28"/>
      <w:lang w:val="en-GB"/>
    </w:rPr>
  </w:style>
  <w:style w:type="character" w:customStyle="1" w:styleId="61">
    <w:name w:val="Heading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Body Text Indent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customStyle="1" w:styleId="89">
    <w:name w:val="3GPP Text"/>
    <w:basedOn w:val="1"/>
    <w:qFormat/>
    <w:uiPriority w:val="0"/>
    <w:pPr>
      <w:spacing w:before="120"/>
      <w:jc w:val="both"/>
    </w:pPr>
  </w:style>
  <w:style w:type="character" w:customStyle="1" w:styleId="90">
    <w:name w:val="TAL Car"/>
    <w:qFormat/>
    <w:uiPriority w:val="0"/>
    <w:rPr>
      <w:rFonts w:ascii="Arial" w:hAnsi="Arial"/>
      <w:sz w:val="18"/>
    </w:rPr>
  </w:style>
  <w:style w:type="character" w:styleId="91">
    <w:name w:val="Placeholder Text"/>
    <w:basedOn w:val="25"/>
    <w:semiHidden/>
    <w:qFormat/>
    <w:uiPriority w:val="99"/>
    <w:rPr>
      <w:color w:val="808080"/>
    </w:rPr>
  </w:style>
  <w:style w:type="paragraph" w:styleId="9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FAA049-BFBA-4AD4-99B6-75A3C022345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1288</Words>
  <Characters>7343</Characters>
  <Lines>61</Lines>
  <Paragraphs>17</Paragraphs>
  <TotalTime>30</TotalTime>
  <ScaleCrop>false</ScaleCrop>
  <LinksUpToDate>false</LinksUpToDate>
  <CharactersWithSpaces>8614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2020-05-15T03:14:56Z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